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2F" w:rsidRDefault="00E3782F">
      <w:pPr>
        <w:pStyle w:val="Header1"/>
        <w:tabs>
          <w:tab w:val="clear" w:pos="8640"/>
          <w:tab w:val="left" w:pos="840"/>
          <w:tab w:val="right" w:pos="8620"/>
        </w:tabs>
        <w:spacing w:line="200" w:lineRule="exact"/>
        <w:ind w:left="5940"/>
        <w:rPr>
          <w:sz w:val="17"/>
        </w:rPr>
      </w:pPr>
      <w:bookmarkStart w:id="0" w:name="_GoBack"/>
      <w:bookmarkEnd w:id="0"/>
    </w:p>
    <w:p w:rsidR="00E3782F" w:rsidRDefault="00D96D3A">
      <w:r>
        <w:rPr>
          <w:noProof/>
        </w:rPr>
        <w:drawing>
          <wp:anchor distT="0" distB="0" distL="114300" distR="114300" simplePos="0" relativeHeight="251657728" behindDoc="1" locked="0" layoutInCell="1" allowOverlap="1" wp14:anchorId="050E0551" wp14:editId="05EEB325">
            <wp:simplePos x="0" y="0"/>
            <wp:positionH relativeFrom="page">
              <wp:posOffset>4114800</wp:posOffset>
            </wp:positionH>
            <wp:positionV relativeFrom="page">
              <wp:posOffset>1028700</wp:posOffset>
            </wp:positionV>
            <wp:extent cx="2278380" cy="690245"/>
            <wp:effectExtent l="19050" t="0" r="762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78380" cy="690245"/>
                    </a:xfrm>
                    <a:prstGeom prst="rect">
                      <a:avLst/>
                    </a:prstGeom>
                    <a:noFill/>
                    <a:ln w="9525">
                      <a:round/>
                      <a:headEnd/>
                      <a:tailEnd/>
                    </a:ln>
                  </pic:spPr>
                </pic:pic>
              </a:graphicData>
            </a:graphic>
          </wp:anchor>
        </w:drawing>
      </w:r>
    </w:p>
    <w:p w:rsidR="00E3782F" w:rsidRDefault="00E3782F">
      <w:pPr>
        <w:jc w:val="center"/>
      </w:pPr>
    </w:p>
    <w:p w:rsidR="00E3782F" w:rsidRDefault="00E3782F">
      <w:pPr>
        <w:jc w:val="center"/>
      </w:pPr>
    </w:p>
    <w:p w:rsidR="00E3782F" w:rsidRDefault="00E3782F">
      <w:pPr>
        <w:jc w:val="center"/>
      </w:pPr>
    </w:p>
    <w:p w:rsidR="00E3782F" w:rsidRDefault="00E3782F">
      <w:pPr>
        <w:jc w:val="center"/>
      </w:pPr>
    </w:p>
    <w:p w:rsidR="00F434D0" w:rsidRPr="00F5382A" w:rsidRDefault="009124C2">
      <w:pPr>
        <w:jc w:val="center"/>
      </w:pPr>
      <w:r>
        <w:t>March 3, 2015</w:t>
      </w:r>
    </w:p>
    <w:p w:rsidR="00C02ADC" w:rsidRPr="00F5382A" w:rsidRDefault="00C02ADC">
      <w:pPr>
        <w:jc w:val="center"/>
      </w:pPr>
    </w:p>
    <w:p w:rsidR="00CE5C3A" w:rsidRDefault="00C17517" w:rsidP="00F609F8">
      <w:pPr>
        <w:ind w:left="2880" w:hanging="2880"/>
      </w:pPr>
      <w:r w:rsidRPr="00F5382A">
        <w:t xml:space="preserve">MEMORANDUM FOR:  </w:t>
      </w:r>
      <w:r w:rsidRPr="00F5382A">
        <w:tab/>
      </w:r>
      <w:r w:rsidR="00F609F8">
        <w:t>Distribution</w:t>
      </w:r>
    </w:p>
    <w:p w:rsidR="00C17517" w:rsidRPr="00F5382A" w:rsidRDefault="00CE5C3A" w:rsidP="00CE5C3A">
      <w:pPr>
        <w:ind w:left="720" w:firstLine="720"/>
      </w:pPr>
      <w:r>
        <w:t xml:space="preserve"> </w:t>
      </w:r>
    </w:p>
    <w:p w:rsidR="00F609F8" w:rsidRDefault="00C17517" w:rsidP="00F41B1D">
      <w:pPr>
        <w:ind w:left="2880" w:hanging="2880"/>
      </w:pPr>
      <w:r w:rsidRPr="00F5382A">
        <w:t>FROM:</w:t>
      </w:r>
      <w:r w:rsidRPr="00F5382A">
        <w:tab/>
      </w:r>
      <w:r w:rsidR="00F609F8">
        <w:t>Gregory A. Marshall</w:t>
      </w:r>
    </w:p>
    <w:p w:rsidR="00F609F8" w:rsidRDefault="00F609F8" w:rsidP="00F609F8">
      <w:pPr>
        <w:ind w:left="2160" w:firstLine="720"/>
      </w:pPr>
      <w:r>
        <w:t>Senior Insider Threat Official</w:t>
      </w:r>
      <w:r>
        <w:tab/>
      </w:r>
      <w:r>
        <w:tab/>
      </w:r>
    </w:p>
    <w:p w:rsidR="00F609F8" w:rsidRDefault="00F609F8" w:rsidP="00F609F8">
      <w:pPr>
        <w:ind w:left="2160" w:firstLine="720"/>
      </w:pPr>
      <w:r>
        <w:t>Chief Security Officer</w:t>
      </w:r>
    </w:p>
    <w:p w:rsidR="0053497F" w:rsidRPr="00F5382A" w:rsidRDefault="0053497F" w:rsidP="00F41B1D">
      <w:pPr>
        <w:ind w:left="2880" w:hanging="2880"/>
      </w:pPr>
    </w:p>
    <w:p w:rsidR="00C17517" w:rsidRPr="00F5382A" w:rsidRDefault="00C17517" w:rsidP="00C17517">
      <w:pPr>
        <w:ind w:left="2880" w:hanging="2880"/>
      </w:pPr>
      <w:r w:rsidRPr="00F5382A">
        <w:t>SUBJECT:</w:t>
      </w:r>
      <w:r w:rsidRPr="00F5382A">
        <w:tab/>
      </w:r>
      <w:r w:rsidR="0053497F" w:rsidRPr="00F5382A">
        <w:t xml:space="preserve">Procedures for the </w:t>
      </w:r>
      <w:r w:rsidR="00CE5C3A">
        <w:t xml:space="preserve">Insider Threat Program </w:t>
      </w:r>
      <w:r w:rsidR="0053497F" w:rsidRPr="00F5382A">
        <w:t xml:space="preserve">Concerning Bulk Data Transfers </w:t>
      </w:r>
      <w:r w:rsidR="00CE5C3A">
        <w:t xml:space="preserve"> </w:t>
      </w:r>
    </w:p>
    <w:p w:rsidR="00C17517" w:rsidRPr="00F5382A" w:rsidRDefault="00C17517" w:rsidP="00C17517"/>
    <w:p w:rsidR="00F41B1D" w:rsidRPr="00F5382A" w:rsidRDefault="00512F49" w:rsidP="00F41B1D">
      <w:r w:rsidRPr="00F5382A">
        <w:rPr>
          <w:u w:val="single"/>
        </w:rPr>
        <w:t>PURPOSE</w:t>
      </w:r>
    </w:p>
    <w:p w:rsidR="00F41B1D" w:rsidRPr="00F5382A" w:rsidRDefault="00F41B1D" w:rsidP="007179CE">
      <w:pPr>
        <w:ind w:firstLine="720"/>
      </w:pPr>
    </w:p>
    <w:p w:rsidR="00512F49" w:rsidRPr="00F5382A" w:rsidRDefault="00512F49" w:rsidP="009124C2">
      <w:r w:rsidRPr="00F5382A">
        <w:t>T</w:t>
      </w:r>
      <w:r w:rsidR="009261E4" w:rsidRPr="00F5382A">
        <w:t>he purpose of this memorandum is t</w:t>
      </w:r>
      <w:r w:rsidRPr="00F5382A">
        <w:t xml:space="preserve">o provide procedures </w:t>
      </w:r>
      <w:r w:rsidR="00C90F24" w:rsidRPr="00F5382A">
        <w:t xml:space="preserve">governing </w:t>
      </w:r>
      <w:r w:rsidR="00C90F24">
        <w:t>the</w:t>
      </w:r>
      <w:r w:rsidR="002A463A">
        <w:t xml:space="preserve"> ingestion of</w:t>
      </w:r>
      <w:r w:rsidRPr="00F5382A">
        <w:t xml:space="preserve"> data in bulk </w:t>
      </w:r>
      <w:r w:rsidR="00B73D21">
        <w:t xml:space="preserve">for use </w:t>
      </w:r>
      <w:r w:rsidRPr="00F5382A">
        <w:t xml:space="preserve">by the </w:t>
      </w:r>
      <w:r w:rsidR="00CE5C3A">
        <w:t>Insider Threat Program</w:t>
      </w:r>
      <w:r w:rsidRPr="00F5382A">
        <w:t xml:space="preserve"> (</w:t>
      </w:r>
      <w:r w:rsidR="00CE5C3A">
        <w:t>ITP</w:t>
      </w:r>
      <w:r w:rsidRPr="00F5382A">
        <w:t xml:space="preserve">).  </w:t>
      </w:r>
    </w:p>
    <w:p w:rsidR="007179CE" w:rsidRPr="00F5382A" w:rsidRDefault="007179CE" w:rsidP="007179CE"/>
    <w:p w:rsidR="007179CE" w:rsidRPr="00F5382A" w:rsidRDefault="00F41B1D" w:rsidP="007179CE">
      <w:pPr>
        <w:rPr>
          <w:b/>
        </w:rPr>
      </w:pPr>
      <w:r w:rsidRPr="00F5382A">
        <w:rPr>
          <w:u w:val="single"/>
        </w:rPr>
        <w:t>BACKGROUND</w:t>
      </w:r>
    </w:p>
    <w:p w:rsidR="007179CE" w:rsidRPr="00F5382A" w:rsidRDefault="007179CE" w:rsidP="007179CE">
      <w:pPr>
        <w:rPr>
          <w:b/>
        </w:rPr>
      </w:pPr>
    </w:p>
    <w:p w:rsidR="00512F49" w:rsidRPr="00F5382A" w:rsidRDefault="00CE5C3A" w:rsidP="009124C2">
      <w:r>
        <w:t xml:space="preserve">The ITP </w:t>
      </w:r>
      <w:r w:rsidR="00512F49" w:rsidRPr="00F5382A">
        <w:t xml:space="preserve">is required by </w:t>
      </w:r>
      <w:r w:rsidR="005A6936" w:rsidRPr="00F5382A">
        <w:t xml:space="preserve">Executive Order No. </w:t>
      </w:r>
      <w:r>
        <w:t>13</w:t>
      </w:r>
      <w:r w:rsidR="005A6936" w:rsidRPr="00F5382A">
        <w:t>,</w:t>
      </w:r>
      <w:r>
        <w:t>587</w:t>
      </w:r>
      <w:r w:rsidR="005A6936" w:rsidRPr="00F5382A">
        <w:t>, “</w:t>
      </w:r>
      <w:r w:rsidRPr="00CE5C3A">
        <w:t>Structural Reforms to Improve the Security of Classified Networks and the Responsible Sharing and Safeguarding of Classified Information</w:t>
      </w:r>
      <w:r w:rsidR="005A6936" w:rsidRPr="00F5382A">
        <w:t xml:space="preserve">,” </w:t>
      </w:r>
      <w:r>
        <w:t>October 7, 2011</w:t>
      </w:r>
      <w:r w:rsidR="005A6936" w:rsidRPr="00F5382A">
        <w:t>,</w:t>
      </w:r>
      <w:r w:rsidR="00512F49" w:rsidRPr="00F5382A">
        <w:t xml:space="preserve"> </w:t>
      </w:r>
      <w:r w:rsidR="000269A7">
        <w:t>and the President’s National Insider Threat Policy and Minimum</w:t>
      </w:r>
      <w:r w:rsidR="002A463A">
        <w:t xml:space="preserve"> </w:t>
      </w:r>
      <w:r w:rsidR="000269A7">
        <w:t>Standards for Executive Branch Insider Threat Programs, November 21, 2012,</w:t>
      </w:r>
      <w:r w:rsidR="000269A7" w:rsidRPr="00F5382A">
        <w:t xml:space="preserve"> </w:t>
      </w:r>
      <w:r w:rsidR="00512F49" w:rsidRPr="00F5382A">
        <w:t xml:space="preserve">to </w:t>
      </w:r>
      <w:r w:rsidR="000269A7">
        <w:t>b</w:t>
      </w:r>
      <w:r w:rsidR="000269A7" w:rsidRPr="000269A7">
        <w:t xml:space="preserve">uild and maintain an insider threat analytic and response capability </w:t>
      </w:r>
      <w:r w:rsidR="000269A7">
        <w:t xml:space="preserve">to </w:t>
      </w:r>
      <w:r w:rsidR="000269A7" w:rsidRPr="000269A7">
        <w:t xml:space="preserve">gather, integrate, review, assess, and respond to information derived from </w:t>
      </w:r>
      <w:r w:rsidR="000269A7">
        <w:t xml:space="preserve">counterintelligence, security, information assurance, human resources, law enforcement, </w:t>
      </w:r>
      <w:r w:rsidR="000269A7" w:rsidRPr="000269A7">
        <w:t xml:space="preserve">the monitoring of user activity, and other sources as </w:t>
      </w:r>
      <w:r w:rsidR="000269A7">
        <w:t>n</w:t>
      </w:r>
      <w:r w:rsidR="000269A7" w:rsidRPr="000269A7">
        <w:t>ecessary and</w:t>
      </w:r>
      <w:r w:rsidR="000269A7">
        <w:t xml:space="preserve"> </w:t>
      </w:r>
      <w:r w:rsidR="000269A7" w:rsidRPr="000269A7">
        <w:t>appropriate.</w:t>
      </w:r>
      <w:r w:rsidR="00B5429E">
        <w:t xml:space="preserve">  </w:t>
      </w:r>
      <w:r w:rsidR="000800DB" w:rsidRPr="00F5382A">
        <w:t>The purpose of</w:t>
      </w:r>
      <w:r w:rsidR="000269A7">
        <w:t xml:space="preserve"> these guidelines is to enable the ITP </w:t>
      </w:r>
      <w:r w:rsidR="000800DB" w:rsidRPr="00F5382A">
        <w:t xml:space="preserve">to carry out </w:t>
      </w:r>
      <w:r w:rsidR="00B5429E">
        <w:t>its</w:t>
      </w:r>
      <w:r w:rsidR="00B5429E" w:rsidRPr="00F5382A">
        <w:t xml:space="preserve"> </w:t>
      </w:r>
      <w:r w:rsidR="000800DB" w:rsidRPr="00F5382A">
        <w:t>authorized functions in an effective manner that also protects the privacy</w:t>
      </w:r>
      <w:r w:rsidR="003F7227">
        <w:t>,</w:t>
      </w:r>
      <w:r w:rsidR="00B73D21">
        <w:t xml:space="preserve"> </w:t>
      </w:r>
      <w:r w:rsidR="000800DB" w:rsidRPr="00F5382A">
        <w:t>civil rights</w:t>
      </w:r>
      <w:r w:rsidR="00B5429E">
        <w:t>,</w:t>
      </w:r>
      <w:r w:rsidR="000800DB" w:rsidRPr="00F5382A">
        <w:t xml:space="preserve"> and civil liberties of </w:t>
      </w:r>
      <w:r w:rsidR="000269A7">
        <w:t xml:space="preserve">employees </w:t>
      </w:r>
      <w:r w:rsidR="000800DB" w:rsidRPr="00F5382A">
        <w:t xml:space="preserve">and maintains the integrity of the </w:t>
      </w:r>
      <w:r w:rsidR="0003748E">
        <w:t xml:space="preserve">ITP.  </w:t>
      </w:r>
    </w:p>
    <w:p w:rsidR="00482B92" w:rsidRPr="00F5382A" w:rsidRDefault="00482B92" w:rsidP="00512F49">
      <w:pPr>
        <w:ind w:firstLine="720"/>
      </w:pPr>
    </w:p>
    <w:p w:rsidR="00512F49" w:rsidRPr="00F5382A" w:rsidRDefault="00482B92" w:rsidP="009124C2">
      <w:r w:rsidRPr="00F5382A">
        <w:t>Accordingly, I am issuing the following procedures to establish specific rules go</w:t>
      </w:r>
      <w:r w:rsidR="0003748E">
        <w:t xml:space="preserve">verning bulk transfers of data </w:t>
      </w:r>
      <w:r w:rsidR="00B5429E">
        <w:t xml:space="preserve">to </w:t>
      </w:r>
      <w:r w:rsidR="0003748E">
        <w:t>the ITP</w:t>
      </w:r>
      <w:r w:rsidRPr="00F5382A">
        <w:t>.  These procedures will provide</w:t>
      </w:r>
      <w:r w:rsidR="00F5382A">
        <w:t xml:space="preserve"> </w:t>
      </w:r>
      <w:r w:rsidR="00B5429E">
        <w:t xml:space="preserve">the </w:t>
      </w:r>
      <w:r w:rsidR="0003748E">
        <w:t>ITP</w:t>
      </w:r>
      <w:r w:rsidRPr="00F5382A">
        <w:t xml:space="preserve"> with the flexibility </w:t>
      </w:r>
      <w:r w:rsidR="00B5429E">
        <w:t>it</w:t>
      </w:r>
      <w:r w:rsidR="00B5429E" w:rsidRPr="00F5382A">
        <w:t xml:space="preserve"> </w:t>
      </w:r>
      <w:r w:rsidRPr="00F5382A">
        <w:t>need</w:t>
      </w:r>
      <w:r w:rsidR="00B5429E">
        <w:t>s</w:t>
      </w:r>
      <w:r w:rsidRPr="00F5382A">
        <w:t xml:space="preserve"> to </w:t>
      </w:r>
      <w:r w:rsidR="00B5429E">
        <w:t>access</w:t>
      </w:r>
      <w:r w:rsidR="00B5429E" w:rsidRPr="00F5382A">
        <w:t xml:space="preserve"> </w:t>
      </w:r>
      <w:r w:rsidRPr="00F5382A">
        <w:t xml:space="preserve">and maintain information in bulk consistent with the mission requirements of the Department.  </w:t>
      </w:r>
      <w:r w:rsidR="005A6936" w:rsidRPr="00F5382A">
        <w:t xml:space="preserve">These procedures are effective as of the signature of this memorandum.  </w:t>
      </w:r>
      <w:r w:rsidR="00E00E96" w:rsidRPr="00F5382A">
        <w:t xml:space="preserve">The procedures will remain in effect until </w:t>
      </w:r>
      <w:r w:rsidR="0003748E">
        <w:t xml:space="preserve">revoked or otherwise amended.  </w:t>
      </w:r>
    </w:p>
    <w:p w:rsidR="005A6936" w:rsidRDefault="005A6936" w:rsidP="00E216DF">
      <w:pPr>
        <w:ind w:firstLine="720"/>
      </w:pPr>
    </w:p>
    <w:p w:rsidR="009124C2" w:rsidRDefault="009124C2">
      <w:pPr>
        <w:rPr>
          <w:u w:val="single"/>
        </w:rPr>
      </w:pPr>
      <w:r>
        <w:rPr>
          <w:u w:val="single"/>
        </w:rPr>
        <w:br w:type="page"/>
      </w:r>
    </w:p>
    <w:p w:rsidR="007179CE" w:rsidRPr="00F5382A" w:rsidRDefault="005A6936" w:rsidP="007179CE">
      <w:pPr>
        <w:rPr>
          <w:b/>
        </w:rPr>
      </w:pPr>
      <w:r w:rsidRPr="00F5382A">
        <w:rPr>
          <w:u w:val="single"/>
        </w:rPr>
        <w:t>PROCEDURES</w:t>
      </w:r>
    </w:p>
    <w:p w:rsidR="007179CE" w:rsidRPr="00F5382A" w:rsidRDefault="007179CE" w:rsidP="007179CE">
      <w:pPr>
        <w:rPr>
          <w:b/>
        </w:rPr>
      </w:pPr>
    </w:p>
    <w:p w:rsidR="00E00E96" w:rsidRPr="00F5382A" w:rsidRDefault="00A2329A" w:rsidP="009124C2">
      <w:r w:rsidRPr="00F5382A">
        <w:t>Set forth below are procedures governing</w:t>
      </w:r>
      <w:r w:rsidR="0004063E">
        <w:t xml:space="preserve"> all bulk data </w:t>
      </w:r>
      <w:r w:rsidR="008A573A">
        <w:t xml:space="preserve">transfers </w:t>
      </w:r>
      <w:r w:rsidR="00B5429E">
        <w:t xml:space="preserve">to the ITP </w:t>
      </w:r>
      <w:r w:rsidR="00E00E96" w:rsidRPr="00F5382A">
        <w:t xml:space="preserve">where it is reasonable to believe that the transfer would include significant amounts of Personally </w:t>
      </w:r>
      <w:r w:rsidR="00E00E96" w:rsidRPr="00F5382A">
        <w:lastRenderedPageBreak/>
        <w:t>Identifiable Information (PII)</w:t>
      </w:r>
      <w:proofErr w:type="gramStart"/>
      <w:r w:rsidR="00B5429E">
        <w:t>.</w:t>
      </w:r>
      <w:proofErr w:type="gramEnd"/>
      <w:r w:rsidR="00E00E96" w:rsidRPr="00F5382A">
        <w:rPr>
          <w:rStyle w:val="FootnoteReference"/>
        </w:rPr>
        <w:footnoteReference w:id="1"/>
      </w:r>
      <w:r w:rsidR="00E00E96" w:rsidRPr="00F5382A">
        <w:t xml:space="preserve">  The term </w:t>
      </w:r>
      <w:r w:rsidR="00E00E96" w:rsidRPr="00F5382A">
        <w:rPr>
          <w:b/>
        </w:rPr>
        <w:t>bulk data transfer</w:t>
      </w:r>
      <w:r w:rsidR="00E00E96" w:rsidRPr="00F5382A">
        <w:t xml:space="preserve"> refers to</w:t>
      </w:r>
      <w:r w:rsidR="00E2578E">
        <w:t xml:space="preserve"> t</w:t>
      </w:r>
      <w:r w:rsidR="00E2578E" w:rsidRPr="00E2578E">
        <w:t xml:space="preserve">he collection or dissemination of large quantities of intelligence or information, a significant portion of which is not reasonably likely to have any ultimate intelligence or operational value to the recipient, but which is provided to the data recipient for the recipient to identify information of intelligence or operational value within it.  Bulk data transfer does not include the transfer of records </w:t>
      </w:r>
      <w:r w:rsidR="007876F4">
        <w:t xml:space="preserve">in response </w:t>
      </w:r>
      <w:r w:rsidR="00E2578E" w:rsidRPr="00E2578E">
        <w:t xml:space="preserve"> to individual identifiers (e.g., name, date of birth, social security number, etc.), but it does include the transfer of records identified through the application of selectors where the transfer would include a significant number of records that, while responsive to the applied selectors, is not reasonably likely to have any ultimate intelligence or operational value to the recipient (e.g., records responsive to demographic profiles such as age, citizenship, gender, etc.).</w:t>
      </w:r>
      <w:r w:rsidR="00E00E96" w:rsidRPr="00F5382A">
        <w:t xml:space="preserve">  </w:t>
      </w:r>
      <w:r w:rsidR="000724C2" w:rsidRPr="00F5382A">
        <w:t>Th</w:t>
      </w:r>
      <w:r w:rsidR="00D573DD">
        <w:t>is policy sets forth</w:t>
      </w:r>
      <w:r w:rsidR="000724C2" w:rsidRPr="00F5382A">
        <w:t xml:space="preserve"> </w:t>
      </w:r>
      <w:r w:rsidR="002B2783">
        <w:t>two</w:t>
      </w:r>
      <w:r w:rsidR="000724C2" w:rsidRPr="00F5382A">
        <w:t xml:space="preserve"> general requirements for bulk data transfers </w:t>
      </w:r>
      <w:r w:rsidR="00C416A7">
        <w:t>to the ITP</w:t>
      </w:r>
      <w:r w:rsidR="00D573DD">
        <w:t xml:space="preserve">. </w:t>
      </w:r>
      <w:r w:rsidR="00C416A7">
        <w:t xml:space="preserve"> </w:t>
      </w:r>
    </w:p>
    <w:p w:rsidR="00E00E96" w:rsidRPr="00F5382A" w:rsidRDefault="00E00E96" w:rsidP="00D64327">
      <w:pPr>
        <w:ind w:firstLine="720"/>
      </w:pPr>
    </w:p>
    <w:p w:rsidR="000724C2" w:rsidRPr="00F5382A" w:rsidRDefault="000724C2" w:rsidP="009124C2">
      <w:r w:rsidRPr="00F5382A">
        <w:rPr>
          <w:b/>
        </w:rPr>
        <w:t>Requirement No. 1—Terms and Conditions:</w:t>
      </w:r>
      <w:r w:rsidRPr="00F5382A">
        <w:t xml:space="preserve">  The first requirement </w:t>
      </w:r>
      <w:r w:rsidR="00E870D1" w:rsidRPr="00F5382A">
        <w:t xml:space="preserve">for any bulk data transfer </w:t>
      </w:r>
      <w:r w:rsidR="00C416A7">
        <w:t xml:space="preserve">to the ITP </w:t>
      </w:r>
      <w:r w:rsidR="00E870D1" w:rsidRPr="00F5382A">
        <w:t xml:space="preserve">subject to </w:t>
      </w:r>
      <w:r w:rsidR="00A2329A" w:rsidRPr="00F5382A">
        <w:t>these procedures</w:t>
      </w:r>
      <w:r w:rsidR="00E870D1" w:rsidRPr="00F5382A">
        <w:t xml:space="preserve"> is the development of written terms and conditions </w:t>
      </w:r>
      <w:r w:rsidR="00C416A7">
        <w:t xml:space="preserve">between the ITP and the data provider </w:t>
      </w:r>
      <w:r w:rsidR="00E870D1" w:rsidRPr="00F5382A">
        <w:t xml:space="preserve">governing the </w:t>
      </w:r>
      <w:r w:rsidR="002A463A">
        <w:t>ingestion</w:t>
      </w:r>
      <w:r w:rsidR="00E870D1" w:rsidRPr="00F5382A">
        <w:t xml:space="preserve"> </w:t>
      </w:r>
      <w:r w:rsidR="002A463A">
        <w:t xml:space="preserve">by </w:t>
      </w:r>
      <w:r w:rsidR="00BD49EF">
        <w:t>the ITP</w:t>
      </w:r>
      <w:r w:rsidR="00E870D1" w:rsidRPr="00F5382A">
        <w:t>.</w:t>
      </w:r>
      <w:r w:rsidR="002A4ECF">
        <w:rPr>
          <w:rStyle w:val="FootnoteReference"/>
        </w:rPr>
        <w:footnoteReference w:id="2"/>
      </w:r>
      <w:r w:rsidR="00E870D1" w:rsidRPr="00F5382A">
        <w:t xml:space="preserve">  These terms and conditions will be designed to ensure that the transfer is done in a manner that protects individuals’ privacy</w:t>
      </w:r>
      <w:r w:rsidR="00E2578E">
        <w:t>,</w:t>
      </w:r>
      <w:r w:rsidR="00E870D1" w:rsidRPr="00F5382A">
        <w:t xml:space="preserve"> civil rights</w:t>
      </w:r>
      <w:r w:rsidR="00E2578E">
        <w:t>,</w:t>
      </w:r>
      <w:r w:rsidR="00E870D1" w:rsidRPr="00F5382A">
        <w:t xml:space="preserve"> civil liberties, safeguards information integrity, and accords with applicable law, executive order, presidential and other directive, regulation, international or domestic agreement, arrangement, or obligation, and national and departmental policy.  To that end, the </w:t>
      </w:r>
      <w:r w:rsidR="00D573DD">
        <w:t xml:space="preserve">written </w:t>
      </w:r>
      <w:r w:rsidR="00E870D1" w:rsidRPr="00F5382A">
        <w:t>terms and conditions will incorporate the following protections:</w:t>
      </w:r>
    </w:p>
    <w:p w:rsidR="00E870D1" w:rsidRPr="00F5382A" w:rsidRDefault="00E870D1" w:rsidP="00D64327">
      <w:pPr>
        <w:ind w:firstLine="720"/>
      </w:pPr>
    </w:p>
    <w:p w:rsidR="00F30072" w:rsidRDefault="00F30072" w:rsidP="00BB5D76">
      <w:pPr>
        <w:pStyle w:val="ListParagraph"/>
        <w:numPr>
          <w:ilvl w:val="0"/>
          <w:numId w:val="7"/>
        </w:numPr>
        <w:ind w:left="1080"/>
      </w:pPr>
      <w:r>
        <w:t>A requirement that any information acquired by the ITP through bulk data transfer will be used only in support of authorized ITP missions and will be transmitted outside the ITP only to the extent permitted by and consistent with the Constitution, executive order, presidential and other directive, regulation, international and domestic agreement, arrangement, or obligation, and national and departmental policy;</w:t>
      </w:r>
    </w:p>
    <w:p w:rsidR="00F30072" w:rsidRDefault="00F30072" w:rsidP="00F609F8">
      <w:pPr>
        <w:pStyle w:val="ListParagraph"/>
        <w:ind w:left="1080"/>
      </w:pPr>
    </w:p>
    <w:p w:rsidR="00E870D1" w:rsidRPr="00F5382A" w:rsidRDefault="00E870D1" w:rsidP="00D405A6">
      <w:pPr>
        <w:pStyle w:val="ListParagraph"/>
        <w:numPr>
          <w:ilvl w:val="0"/>
          <w:numId w:val="7"/>
        </w:numPr>
        <w:ind w:left="1080"/>
      </w:pPr>
      <w:r w:rsidRPr="00F5382A">
        <w:t xml:space="preserve">A requirement </w:t>
      </w:r>
      <w:r w:rsidR="003469B3" w:rsidRPr="00F5382A">
        <w:t>that any employees</w:t>
      </w:r>
      <w:r w:rsidR="00DC0BC1">
        <w:t xml:space="preserve"> or contractors supporting </w:t>
      </w:r>
      <w:r w:rsidR="00052F25">
        <w:t>the ITP</w:t>
      </w:r>
      <w:r w:rsidR="00052F25" w:rsidRPr="00F5382A">
        <w:t xml:space="preserve"> </w:t>
      </w:r>
      <w:r w:rsidR="00E2578E">
        <w:t xml:space="preserve">that are </w:t>
      </w:r>
      <w:r w:rsidR="003469B3" w:rsidRPr="00F5382A">
        <w:t xml:space="preserve">provided access to information acquired via bulk data transfer receive training in the use of that information </w:t>
      </w:r>
      <w:r w:rsidR="00420420" w:rsidRPr="00420420">
        <w:t xml:space="preserve">and understand the baseline and enhanced safeguards, dissemination restrictions, and other privacy expectations and requirements involved in accessing and using such information, including, but not limited to, ongoing training on the requirements set forth by the DHS Chief Privacy Officer, to be taken as a refresher at </w:t>
      </w:r>
      <w:r w:rsidR="00420420" w:rsidRPr="00420420">
        <w:lastRenderedPageBreak/>
        <w:t>least once per year</w:t>
      </w:r>
      <w:r w:rsidR="00420420">
        <w:t xml:space="preserve">, </w:t>
      </w:r>
      <w:r w:rsidR="003469B3" w:rsidRPr="00F5382A">
        <w:t xml:space="preserve">to ensure that </w:t>
      </w:r>
      <w:r w:rsidR="00DC0BC1">
        <w:t>such personnel</w:t>
      </w:r>
      <w:r w:rsidR="003469B3" w:rsidRPr="00F5382A">
        <w:t xml:space="preserve"> use the information </w:t>
      </w:r>
      <w:r w:rsidR="00420420" w:rsidRPr="00420420">
        <w:t xml:space="preserve">acquired via bulk data transfer </w:t>
      </w:r>
      <w:r w:rsidR="003469B3" w:rsidRPr="00F5382A">
        <w:t>only for authorized purposes;</w:t>
      </w:r>
    </w:p>
    <w:p w:rsidR="003469B3" w:rsidRPr="00F5382A" w:rsidRDefault="003469B3" w:rsidP="003469B3">
      <w:pPr>
        <w:pStyle w:val="ListParagraph"/>
        <w:ind w:left="1080"/>
      </w:pPr>
    </w:p>
    <w:p w:rsidR="003469B3" w:rsidRPr="00F5382A" w:rsidRDefault="009173AD" w:rsidP="00BB5D76">
      <w:pPr>
        <w:pStyle w:val="ListParagraph"/>
        <w:numPr>
          <w:ilvl w:val="0"/>
          <w:numId w:val="7"/>
        </w:numPr>
        <w:ind w:left="1080"/>
      </w:pPr>
      <w:r w:rsidRPr="00F5382A">
        <w:t xml:space="preserve">A requirement that the </w:t>
      </w:r>
      <w:r w:rsidR="00E2578E">
        <w:t>ITP</w:t>
      </w:r>
      <w:r w:rsidRPr="00F5382A">
        <w:t xml:space="preserve"> use reasonable measures to identify and mark (or “tag”) </w:t>
      </w:r>
      <w:r w:rsidR="00442DB9" w:rsidRPr="00F5382A">
        <w:t>PII</w:t>
      </w:r>
      <w:r w:rsidRPr="00F5382A">
        <w:t xml:space="preserve"> concerning United States Persons </w:t>
      </w:r>
      <w:r w:rsidR="00E2578E">
        <w:t xml:space="preserve">and any other Special Protected Classes </w:t>
      </w:r>
      <w:r w:rsidRPr="00F5382A">
        <w:t xml:space="preserve">within the data </w:t>
      </w:r>
      <w:r w:rsidR="002A463A">
        <w:t>ingested</w:t>
      </w:r>
      <w:r w:rsidR="002A463A" w:rsidRPr="00F5382A">
        <w:t xml:space="preserve"> </w:t>
      </w:r>
      <w:r w:rsidRPr="00F5382A">
        <w:t>in bulk;</w:t>
      </w:r>
    </w:p>
    <w:p w:rsidR="009173AD" w:rsidRPr="00F5382A" w:rsidRDefault="009173AD" w:rsidP="009173AD">
      <w:pPr>
        <w:pStyle w:val="ListParagraph"/>
      </w:pPr>
    </w:p>
    <w:p w:rsidR="009173AD" w:rsidRDefault="009173AD" w:rsidP="00F609F8">
      <w:pPr>
        <w:pStyle w:val="ListParagraph"/>
        <w:numPr>
          <w:ilvl w:val="0"/>
          <w:numId w:val="7"/>
        </w:numPr>
        <w:ind w:left="1080"/>
      </w:pPr>
      <w:r w:rsidRPr="00F5382A">
        <w:t xml:space="preserve">A requirement that the </w:t>
      </w:r>
      <w:r w:rsidR="00E2578E">
        <w:t>ITP</w:t>
      </w:r>
      <w:r w:rsidRPr="00F5382A">
        <w:t xml:space="preserve"> work with the data provider to ensure that information acquired via bulk data transfer be received, stored, and used in a secure manner</w:t>
      </w:r>
      <w:r w:rsidR="00216888">
        <w:t xml:space="preserve"> </w:t>
      </w:r>
      <w:r w:rsidR="00216888" w:rsidRPr="00216888">
        <w:t>consistent with the requirements of the Federal Information Security Management Act, Pub. L. No. 107-347 (2002) (codified at scattered sections of the United States Code), and National Institute for Standards and Technology Special Publication No. 800-53, Recommended Security Controls for Federal Information Systems and Organizations (Aug. 2009), as revised</w:t>
      </w:r>
      <w:r w:rsidRPr="00F5382A">
        <w:t>;</w:t>
      </w:r>
    </w:p>
    <w:p w:rsidR="00211037" w:rsidRDefault="00211037" w:rsidP="00C90F24">
      <w:pPr>
        <w:pStyle w:val="ListParagraph"/>
      </w:pPr>
    </w:p>
    <w:p w:rsidR="00211037" w:rsidRPr="00F5382A" w:rsidRDefault="00211037" w:rsidP="00F609F8">
      <w:pPr>
        <w:pStyle w:val="ListParagraph"/>
        <w:numPr>
          <w:ilvl w:val="0"/>
          <w:numId w:val="7"/>
        </w:numPr>
        <w:ind w:left="1080"/>
      </w:pPr>
      <w:r>
        <w:t xml:space="preserve">A requirement that, to the extent practicable, data received by the ITP via bulk data transfer be refreshed on a regular, specific schedule </w:t>
      </w:r>
      <w:r w:rsidR="0080012F">
        <w:t>reflected in the terms and conditions</w:t>
      </w:r>
      <w:r>
        <w:t>;</w:t>
      </w:r>
    </w:p>
    <w:p w:rsidR="009173AD" w:rsidRPr="00F5382A" w:rsidRDefault="009173AD" w:rsidP="009173AD">
      <w:pPr>
        <w:pStyle w:val="ListParagraph"/>
      </w:pPr>
    </w:p>
    <w:p w:rsidR="009173AD" w:rsidRPr="00F5382A" w:rsidRDefault="009173AD" w:rsidP="00BB5D76">
      <w:pPr>
        <w:pStyle w:val="ListParagraph"/>
        <w:numPr>
          <w:ilvl w:val="0"/>
          <w:numId w:val="7"/>
        </w:numPr>
        <w:ind w:left="1080"/>
      </w:pPr>
      <w:r w:rsidRPr="00F5382A">
        <w:t xml:space="preserve">A specified period during which information acquired via bulk data transfer is permitted to be temporarily retained by the </w:t>
      </w:r>
      <w:r w:rsidR="00E2578E">
        <w:t>ITP</w:t>
      </w:r>
      <w:r w:rsidR="006117D5">
        <w:t xml:space="preserve"> in accordance with written terms and conditions</w:t>
      </w:r>
      <w:r w:rsidRPr="00F5382A">
        <w:t xml:space="preserve">, which </w:t>
      </w:r>
      <w:r w:rsidR="00211037">
        <w:t>will commence</w:t>
      </w:r>
      <w:r w:rsidRPr="00F5382A">
        <w:t xml:space="preserve"> when the information is made generally available for access and use following any necessary testing and formatting</w:t>
      </w:r>
      <w:r w:rsidR="00211037">
        <w:t>, and which will not under any circumstances exceed five years in length</w:t>
      </w:r>
      <w:r w:rsidRPr="00F5382A">
        <w:t>;</w:t>
      </w:r>
    </w:p>
    <w:p w:rsidR="009173AD" w:rsidRPr="00F5382A" w:rsidRDefault="009173AD" w:rsidP="009173AD">
      <w:pPr>
        <w:pStyle w:val="ListParagraph"/>
      </w:pPr>
    </w:p>
    <w:p w:rsidR="009173AD" w:rsidRPr="00F5382A" w:rsidRDefault="009173AD" w:rsidP="00BB5D76">
      <w:pPr>
        <w:pStyle w:val="ListParagraph"/>
        <w:numPr>
          <w:ilvl w:val="0"/>
          <w:numId w:val="7"/>
        </w:numPr>
        <w:ind w:left="1080"/>
      </w:pPr>
      <w:r w:rsidRPr="00F5382A">
        <w:t xml:space="preserve">A requirement that the </w:t>
      </w:r>
      <w:r w:rsidR="00E2578E">
        <w:t>ITP</w:t>
      </w:r>
      <w:r w:rsidRPr="00F5382A">
        <w:t xml:space="preserve"> have methods for updating or correcting errors in the information, purging erroneously provided information, and ensuring </w:t>
      </w:r>
      <w:r w:rsidR="007876F4">
        <w:t xml:space="preserve">continuing </w:t>
      </w:r>
      <w:r w:rsidRPr="00F5382A">
        <w:t>data accuracy; and</w:t>
      </w:r>
    </w:p>
    <w:p w:rsidR="00A62FDD" w:rsidRPr="00F5382A" w:rsidRDefault="00A62FDD" w:rsidP="00A62FDD">
      <w:pPr>
        <w:pStyle w:val="ListParagraph"/>
      </w:pPr>
    </w:p>
    <w:p w:rsidR="00A62FDD" w:rsidRPr="00F5382A" w:rsidRDefault="00A62FDD" w:rsidP="00BB5D76">
      <w:pPr>
        <w:pStyle w:val="ListParagraph"/>
        <w:numPr>
          <w:ilvl w:val="0"/>
          <w:numId w:val="7"/>
        </w:numPr>
        <w:ind w:left="1080"/>
      </w:pPr>
      <w:r w:rsidRPr="00F5382A">
        <w:t>Any other safeguards that I, in consultation with the DHS Chief Privacy Officer, the DHS Officer for Civil Rights and Civil Liberties, and the Associate General Counsel for Intelligence, determine are necessary.</w:t>
      </w:r>
    </w:p>
    <w:p w:rsidR="00E00E96" w:rsidRPr="00F5382A" w:rsidRDefault="00E00E96" w:rsidP="00D64327">
      <w:pPr>
        <w:ind w:firstLine="720"/>
      </w:pPr>
    </w:p>
    <w:p w:rsidR="00E00E96" w:rsidRPr="00F5382A" w:rsidRDefault="00A62FDD" w:rsidP="009124C2">
      <w:r w:rsidRPr="00F5382A">
        <w:rPr>
          <w:b/>
        </w:rPr>
        <w:t>Requirement No. 2—</w:t>
      </w:r>
      <w:r w:rsidR="008D70B9" w:rsidRPr="00F5382A">
        <w:rPr>
          <w:b/>
        </w:rPr>
        <w:t>Oversight Office</w:t>
      </w:r>
      <w:r w:rsidRPr="00F5382A">
        <w:rPr>
          <w:b/>
        </w:rPr>
        <w:t xml:space="preserve"> Certifications:</w:t>
      </w:r>
      <w:r w:rsidRPr="00F5382A">
        <w:t xml:space="preserve">  The terms and conditions described above will </w:t>
      </w:r>
      <w:r w:rsidR="00182CB5" w:rsidRPr="00F5382A">
        <w:t xml:space="preserve">not </w:t>
      </w:r>
      <w:r w:rsidRPr="00F5382A">
        <w:t xml:space="preserve">go into effect </w:t>
      </w:r>
      <w:r w:rsidR="00182CB5" w:rsidRPr="00F5382A">
        <w:t>until</w:t>
      </w:r>
      <w:r w:rsidRPr="00F5382A">
        <w:t xml:space="preserve"> the following certifications are made:</w:t>
      </w:r>
    </w:p>
    <w:p w:rsidR="00E00E96" w:rsidRPr="00F5382A" w:rsidRDefault="00E00E96" w:rsidP="00D64327">
      <w:pPr>
        <w:ind w:firstLine="720"/>
      </w:pPr>
    </w:p>
    <w:p w:rsidR="004803BC" w:rsidRDefault="004803BC" w:rsidP="00011D8F">
      <w:pPr>
        <w:pStyle w:val="ListParagraph"/>
        <w:numPr>
          <w:ilvl w:val="0"/>
          <w:numId w:val="7"/>
        </w:numPr>
        <w:ind w:left="1080"/>
      </w:pPr>
      <w:r>
        <w:t xml:space="preserve">From me, a certification </w:t>
      </w:r>
      <w:r w:rsidRPr="00F5382A">
        <w:t xml:space="preserve">that (1) the bulk data to be </w:t>
      </w:r>
      <w:r w:rsidR="002A463A">
        <w:t>ingested</w:t>
      </w:r>
      <w:r w:rsidR="002A463A" w:rsidRPr="00F5382A">
        <w:t xml:space="preserve"> </w:t>
      </w:r>
      <w:r w:rsidRPr="00F5382A">
        <w:t xml:space="preserve">by </w:t>
      </w:r>
      <w:r>
        <w:t>the ITP</w:t>
      </w:r>
      <w:r w:rsidRPr="00F5382A">
        <w:t xml:space="preserve"> is reasonably likely to contain a significant amount of information that, if acquired by </w:t>
      </w:r>
      <w:r>
        <w:t>the ITP</w:t>
      </w:r>
      <w:r w:rsidRPr="00F5382A">
        <w:t xml:space="preserve">, would support </w:t>
      </w:r>
      <w:r>
        <w:t>the identification of insider threats</w:t>
      </w:r>
      <w:r w:rsidRPr="00F5382A">
        <w:t>; (2) bulk data transfer is the only practicable means of identifying or using all or a significant amount of the information to be</w:t>
      </w:r>
      <w:r>
        <w:t xml:space="preserve"> acquired; and (3) that, to the greatest extent practicable, only those data elements within a category of information that are necessary for the lawful conduct of ITP activities </w:t>
      </w:r>
      <w:r w:rsidR="002A463A">
        <w:t xml:space="preserve">are </w:t>
      </w:r>
      <w:r>
        <w:t>retained by the ITP;</w:t>
      </w:r>
    </w:p>
    <w:p w:rsidR="004803BC" w:rsidRDefault="004803BC" w:rsidP="00F609F8">
      <w:pPr>
        <w:pStyle w:val="ListParagraph"/>
        <w:ind w:left="1080"/>
      </w:pPr>
    </w:p>
    <w:p w:rsidR="00A62FDD" w:rsidRPr="00F5382A" w:rsidRDefault="00A62FDD" w:rsidP="00011D8F">
      <w:pPr>
        <w:pStyle w:val="ListParagraph"/>
        <w:numPr>
          <w:ilvl w:val="0"/>
          <w:numId w:val="7"/>
        </w:numPr>
        <w:ind w:left="1080"/>
      </w:pPr>
      <w:r w:rsidRPr="00F5382A">
        <w:t xml:space="preserve">From the Associate General Counsel for Intelligence, a certification that the terms and conditions are consistent with the requirements of </w:t>
      </w:r>
      <w:r w:rsidR="007876F4">
        <w:t xml:space="preserve">the Constitution, executive </w:t>
      </w:r>
      <w:r w:rsidR="007876F4">
        <w:lastRenderedPageBreak/>
        <w:t>order, presidential and other directive, regulation, international and domestic agreement, arrangement, or obligation, and national and departmental policy</w:t>
      </w:r>
      <w:r w:rsidRPr="00F5382A">
        <w:t>;</w:t>
      </w:r>
    </w:p>
    <w:p w:rsidR="00A62FDD" w:rsidRPr="00F5382A" w:rsidRDefault="00A62FDD" w:rsidP="00A62FDD">
      <w:pPr>
        <w:pStyle w:val="ListParagraph"/>
        <w:ind w:left="1080"/>
      </w:pPr>
    </w:p>
    <w:p w:rsidR="00A62FDD" w:rsidRPr="00F5382A" w:rsidRDefault="00A62FDD" w:rsidP="00011D8F">
      <w:pPr>
        <w:pStyle w:val="ListParagraph"/>
        <w:numPr>
          <w:ilvl w:val="0"/>
          <w:numId w:val="7"/>
        </w:numPr>
        <w:ind w:left="1080"/>
      </w:pPr>
      <w:r w:rsidRPr="00F5382A">
        <w:t xml:space="preserve">From the DHS Privacy Officer, a certification that the terms and conditions </w:t>
      </w:r>
      <w:r w:rsidR="00216888">
        <w:t>adequately protect</w:t>
      </w:r>
      <w:r w:rsidRPr="00F5382A">
        <w:t xml:space="preserve"> the privacy of any </w:t>
      </w:r>
      <w:r w:rsidR="00216888">
        <w:t>individual</w:t>
      </w:r>
      <w:r w:rsidRPr="00F5382A">
        <w:t xml:space="preserve"> whose </w:t>
      </w:r>
      <w:r w:rsidR="00011D8F" w:rsidRPr="00F5382A">
        <w:t>PII</w:t>
      </w:r>
      <w:r w:rsidRPr="00F5382A">
        <w:t xml:space="preserve"> is contained within the bulk data transfer</w:t>
      </w:r>
      <w:bookmarkStart w:id="1" w:name="a_2"/>
      <w:bookmarkEnd w:id="1"/>
      <w:r w:rsidRPr="00F5382A">
        <w:t>; and</w:t>
      </w:r>
    </w:p>
    <w:p w:rsidR="00A62FDD" w:rsidRPr="00F5382A" w:rsidRDefault="00A62FDD" w:rsidP="00A62FDD">
      <w:pPr>
        <w:pStyle w:val="ListParagraph"/>
      </w:pPr>
    </w:p>
    <w:p w:rsidR="00A62FDD" w:rsidRPr="00F5382A" w:rsidRDefault="00A62FDD" w:rsidP="00BB5D76">
      <w:pPr>
        <w:pStyle w:val="ListParagraph"/>
        <w:numPr>
          <w:ilvl w:val="0"/>
          <w:numId w:val="7"/>
        </w:numPr>
        <w:ind w:left="1080"/>
      </w:pPr>
      <w:r w:rsidRPr="00F5382A">
        <w:t xml:space="preserve">From the DHS Officer for Civil Rights and Civil Liberties, a certification that the terms and conditions </w:t>
      </w:r>
      <w:r w:rsidR="005D102B">
        <w:t>adequately protect</w:t>
      </w:r>
      <w:r w:rsidRPr="00F5382A">
        <w:t xml:space="preserve"> the civil rights and civil liberties of any </w:t>
      </w:r>
      <w:r w:rsidR="00216888">
        <w:t>individual</w:t>
      </w:r>
      <w:r w:rsidRPr="00F5382A">
        <w:t xml:space="preserve"> whose P</w:t>
      </w:r>
      <w:r w:rsidR="0004757B" w:rsidRPr="00F5382A">
        <w:t>II</w:t>
      </w:r>
      <w:r w:rsidRPr="00F5382A">
        <w:t xml:space="preserve"> is contained within the bulk data transfer.</w:t>
      </w:r>
    </w:p>
    <w:p w:rsidR="00A62FDD" w:rsidRPr="00F5382A" w:rsidRDefault="00A62FDD" w:rsidP="00A62FDD">
      <w:pPr>
        <w:ind w:firstLine="720"/>
      </w:pPr>
    </w:p>
    <w:p w:rsidR="00E00E96" w:rsidRPr="00F5382A" w:rsidRDefault="004E7F77" w:rsidP="009124C2">
      <w:r w:rsidRPr="00F5382A">
        <w:t xml:space="preserve">In the event that one or more of </w:t>
      </w:r>
      <w:r w:rsidR="004803BC" w:rsidRPr="00F5382A">
        <w:t>the</w:t>
      </w:r>
      <w:r w:rsidR="004803BC">
        <w:t xml:space="preserve"> other</w:t>
      </w:r>
      <w:r w:rsidR="004803BC" w:rsidRPr="00F5382A">
        <w:t xml:space="preserve"> </w:t>
      </w:r>
      <w:r w:rsidRPr="00F5382A">
        <w:t xml:space="preserve">officials </w:t>
      </w:r>
      <w:r w:rsidR="004803BC">
        <w:t xml:space="preserve">named above </w:t>
      </w:r>
      <w:r w:rsidRPr="00F5382A">
        <w:t xml:space="preserve">concludes that a required certificate cannot be issued under the terms and conditions </w:t>
      </w:r>
      <w:r w:rsidR="00A2329A" w:rsidRPr="00F5382A">
        <w:t>subject to review</w:t>
      </w:r>
      <w:r w:rsidRPr="00F5382A">
        <w:t>, I will work with that official (or officials) to resolve any questions or concerns so that appropriate terms and conditions may be memorialized and the bulk data transfer described therein e</w:t>
      </w:r>
      <w:r w:rsidR="00182CB5" w:rsidRPr="00F5382A">
        <w:t xml:space="preserve">xecuted.  </w:t>
      </w:r>
      <w:r w:rsidR="00211037">
        <w:t>If I cannot resolve any such questions or concerns to the satisfaction of the officials named above and I conclude that the acquisition of data in bulk is appropriate nevertheless, I will refer the matter to the Under Secretary for Intelligence and Analysis so that he or she may work with the Component Head for the office with questions or concerns to resolve the matter.  I</w:t>
      </w:r>
      <w:r w:rsidRPr="00F5382A">
        <w:t>f</w:t>
      </w:r>
      <w:r w:rsidR="00211037">
        <w:t>, following such efforts,</w:t>
      </w:r>
      <w:r w:rsidRPr="00F5382A">
        <w:t xml:space="preserve"> </w:t>
      </w:r>
      <w:r w:rsidR="00211037">
        <w:t xml:space="preserve">required </w:t>
      </w:r>
      <w:r w:rsidRPr="00F5382A">
        <w:t xml:space="preserve">certifications are not forthcoming, </w:t>
      </w:r>
      <w:r w:rsidR="00211037">
        <w:t>the ITP will not execute a bulk data transfer unless</w:t>
      </w:r>
      <w:r w:rsidR="00CA7D9C">
        <w:t xml:space="preserve"> the </w:t>
      </w:r>
      <w:r w:rsidRPr="00F5382A">
        <w:t>Secretary or Deputy Secretary</w:t>
      </w:r>
      <w:r w:rsidR="004803BC">
        <w:t xml:space="preserve"> </w:t>
      </w:r>
      <w:r w:rsidR="00211037">
        <w:t>expressly approve the transfer after</w:t>
      </w:r>
      <w:r w:rsidR="004803BC">
        <w:t xml:space="preserve"> appropriate opportunity </w:t>
      </w:r>
      <w:r w:rsidR="00211037">
        <w:t xml:space="preserve">is provided to </w:t>
      </w:r>
      <w:r w:rsidR="004803BC">
        <w:t>the official withholding certification to participate in any discussions with the Secretary or Deputy Secretary leading to that express approval</w:t>
      </w:r>
      <w:r w:rsidRPr="00F5382A">
        <w:t xml:space="preserve">.  </w:t>
      </w:r>
    </w:p>
    <w:p w:rsidR="004E7F77" w:rsidRPr="00F5382A" w:rsidRDefault="004E7F77" w:rsidP="00D64327">
      <w:pPr>
        <w:ind w:firstLine="720"/>
      </w:pPr>
    </w:p>
    <w:p w:rsidR="00074365" w:rsidRPr="00F5382A" w:rsidRDefault="00074365" w:rsidP="009124C2">
      <w:r w:rsidRPr="00F5382A">
        <w:rPr>
          <w:b/>
        </w:rPr>
        <w:t>Exception</w:t>
      </w:r>
      <w:r w:rsidR="00714525" w:rsidRPr="00F5382A">
        <w:rPr>
          <w:b/>
        </w:rPr>
        <w:t xml:space="preserve"> for Exigent Circumstances</w:t>
      </w:r>
      <w:r w:rsidRPr="00F5382A">
        <w:rPr>
          <w:b/>
        </w:rPr>
        <w:t>:</w:t>
      </w:r>
      <w:r w:rsidRPr="00F5382A">
        <w:t xml:space="preserve">  The </w:t>
      </w:r>
      <w:r w:rsidR="00714525" w:rsidRPr="00F5382A">
        <w:t>requirements</w:t>
      </w:r>
      <w:r w:rsidRPr="00F5382A">
        <w:t xml:space="preserve"> described above </w:t>
      </w:r>
      <w:r w:rsidR="00714525" w:rsidRPr="00F5382A">
        <w:t xml:space="preserve">do </w:t>
      </w:r>
      <w:r w:rsidRPr="00F5382A">
        <w:t xml:space="preserve">not apply where the following </w:t>
      </w:r>
      <w:r w:rsidR="00714525" w:rsidRPr="00F5382A">
        <w:t>criteria</w:t>
      </w:r>
      <w:r w:rsidRPr="00F5382A">
        <w:t xml:space="preserve"> are met:</w:t>
      </w:r>
    </w:p>
    <w:p w:rsidR="00074365" w:rsidRPr="00F5382A" w:rsidRDefault="00074365" w:rsidP="00D64327">
      <w:pPr>
        <w:ind w:firstLine="720"/>
      </w:pPr>
    </w:p>
    <w:p w:rsidR="00074365" w:rsidRPr="00F5382A" w:rsidRDefault="00074365" w:rsidP="00BB5D76">
      <w:pPr>
        <w:pStyle w:val="ListParagraph"/>
        <w:numPr>
          <w:ilvl w:val="0"/>
          <w:numId w:val="7"/>
        </w:numPr>
        <w:ind w:left="1080"/>
      </w:pPr>
      <w:r w:rsidRPr="00F5382A">
        <w:t xml:space="preserve">I have determined that a clear, imminent </w:t>
      </w:r>
      <w:r w:rsidR="00F30072">
        <w:t xml:space="preserve">insider </w:t>
      </w:r>
      <w:r w:rsidRPr="00F5382A">
        <w:t xml:space="preserve">threat of such severity exists that the failure to </w:t>
      </w:r>
      <w:r w:rsidR="00F30072">
        <w:t>acquire</w:t>
      </w:r>
      <w:r w:rsidRPr="00F5382A">
        <w:t xml:space="preserve"> information via immediate bulk data transfer would be reasonably likely to endanger the national or homeland security and the information to be </w:t>
      </w:r>
      <w:r w:rsidR="00C416A7">
        <w:t>ingested</w:t>
      </w:r>
      <w:r w:rsidR="00C416A7" w:rsidRPr="00F5382A">
        <w:t xml:space="preserve"> </w:t>
      </w:r>
      <w:r w:rsidRPr="00F5382A">
        <w:t xml:space="preserve">via bulk data transfer relates directly to that </w:t>
      </w:r>
      <w:r w:rsidR="00F30072">
        <w:t xml:space="preserve">insider </w:t>
      </w:r>
      <w:r w:rsidRPr="00F5382A">
        <w:t>threat;</w:t>
      </w:r>
    </w:p>
    <w:p w:rsidR="00074365" w:rsidRPr="00F5382A" w:rsidRDefault="00074365" w:rsidP="00074365">
      <w:pPr>
        <w:pStyle w:val="ListParagraph"/>
        <w:ind w:left="1080"/>
      </w:pPr>
    </w:p>
    <w:p w:rsidR="00074365" w:rsidRPr="00F5382A" w:rsidRDefault="00074365" w:rsidP="00BB5D76">
      <w:pPr>
        <w:pStyle w:val="ListParagraph"/>
        <w:numPr>
          <w:ilvl w:val="0"/>
          <w:numId w:val="7"/>
        </w:numPr>
        <w:ind w:left="1080"/>
      </w:pPr>
      <w:r w:rsidRPr="00F5382A">
        <w:t xml:space="preserve">The bulk data transfer is limited to the </w:t>
      </w:r>
      <w:r w:rsidR="00F30072">
        <w:t>greatest extent practicable to that necessary to address the insider threat</w:t>
      </w:r>
      <w:r w:rsidRPr="00F5382A">
        <w:t>;</w:t>
      </w:r>
    </w:p>
    <w:p w:rsidR="00074365" w:rsidRPr="00F5382A" w:rsidRDefault="00074365" w:rsidP="00074365">
      <w:pPr>
        <w:pStyle w:val="ListParagraph"/>
      </w:pPr>
    </w:p>
    <w:p w:rsidR="00074365" w:rsidRPr="00F5382A" w:rsidRDefault="00F30072" w:rsidP="00BB5D76">
      <w:pPr>
        <w:pStyle w:val="ListParagraph"/>
        <w:numPr>
          <w:ilvl w:val="0"/>
          <w:numId w:val="7"/>
        </w:numPr>
        <w:ind w:left="1080"/>
      </w:pPr>
      <w:r>
        <w:t>I</w:t>
      </w:r>
      <w:r w:rsidR="00074365" w:rsidRPr="00F5382A">
        <w:t xml:space="preserve">nformation transferred via bulk data transfer is afforded the same privacy, civil rights and civil liberties, and information integrity safeguards as information originating within </w:t>
      </w:r>
      <w:r w:rsidR="003F526D">
        <w:t>the ITP;</w:t>
      </w:r>
      <w:r w:rsidR="00074365" w:rsidRPr="00F5382A">
        <w:t xml:space="preserve"> and</w:t>
      </w:r>
    </w:p>
    <w:p w:rsidR="00074365" w:rsidRPr="00F5382A" w:rsidRDefault="00074365" w:rsidP="00074365">
      <w:pPr>
        <w:pStyle w:val="ListParagraph"/>
        <w:ind w:left="1440"/>
      </w:pPr>
    </w:p>
    <w:p w:rsidR="00074365" w:rsidRPr="00F5382A" w:rsidRDefault="00074365" w:rsidP="00BB5D76">
      <w:pPr>
        <w:pStyle w:val="ListParagraph"/>
        <w:numPr>
          <w:ilvl w:val="0"/>
          <w:numId w:val="7"/>
        </w:numPr>
        <w:ind w:left="1080"/>
      </w:pPr>
      <w:r w:rsidRPr="00F5382A">
        <w:t>Notice of the bulk data transfer under the circumstances described above is provided to the DHS Chief Privacy Officer, the DHS Officer for Civil Rights and Civil Liberties, and the Associate General Counsel for Intelligence as soon as possible, but in no event later than twenty-four hours from the initiation of the bulk data transfer.</w:t>
      </w:r>
    </w:p>
    <w:p w:rsidR="007C4D0D" w:rsidRDefault="007C4D0D" w:rsidP="00887B15">
      <w:pPr>
        <w:rPr>
          <w:i/>
        </w:rPr>
      </w:pPr>
    </w:p>
    <w:p w:rsidR="00887B15" w:rsidRPr="00F5382A" w:rsidRDefault="00887B15" w:rsidP="00887B15">
      <w:pPr>
        <w:rPr>
          <w:i/>
        </w:rPr>
      </w:pPr>
      <w:r w:rsidRPr="00F5382A">
        <w:rPr>
          <w:i/>
        </w:rPr>
        <w:t>Training and Consultation</w:t>
      </w:r>
    </w:p>
    <w:p w:rsidR="00074365" w:rsidRPr="00F5382A" w:rsidRDefault="00074365" w:rsidP="00074365">
      <w:pPr>
        <w:ind w:firstLine="720"/>
      </w:pPr>
    </w:p>
    <w:p w:rsidR="00887B15" w:rsidRPr="00F5382A" w:rsidRDefault="00887B15" w:rsidP="009124C2">
      <w:r w:rsidRPr="00F5382A">
        <w:t xml:space="preserve">The procedures described above are complex and represent a significant development for the </w:t>
      </w:r>
      <w:r w:rsidR="003F526D">
        <w:t>ITP</w:t>
      </w:r>
      <w:r w:rsidRPr="00F5382A">
        <w:t xml:space="preserve">.  Accordingly, I direct all </w:t>
      </w:r>
      <w:r w:rsidR="003F526D">
        <w:t>ITP</w:t>
      </w:r>
      <w:r w:rsidR="003F526D" w:rsidRPr="00F5382A">
        <w:t xml:space="preserve"> </w:t>
      </w:r>
      <w:r w:rsidRPr="00F5382A">
        <w:t>employees</w:t>
      </w:r>
      <w:r w:rsidR="00DC0BC1">
        <w:t xml:space="preserve"> and contractors </w:t>
      </w:r>
      <w:r w:rsidRPr="00F5382A">
        <w:t xml:space="preserve">to receive training </w:t>
      </w:r>
      <w:r w:rsidR="00C5239C" w:rsidRPr="00F5382A">
        <w:t xml:space="preserve">from the </w:t>
      </w:r>
      <w:r w:rsidR="003F526D">
        <w:t xml:space="preserve">Insider Threat Oversight Group </w:t>
      </w:r>
      <w:r w:rsidR="00A2329A" w:rsidRPr="00F5382A">
        <w:t xml:space="preserve">on these supplemental policies and procedures within </w:t>
      </w:r>
      <w:r w:rsidR="00C5239C" w:rsidRPr="00F5382A">
        <w:t xml:space="preserve">thirty days of assuming the role or responsibilities giving rise to this requirement or </w:t>
      </w:r>
      <w:r w:rsidR="00A2329A" w:rsidRPr="00F5382A">
        <w:t>ninety days of the execution of th</w:t>
      </w:r>
      <w:r w:rsidR="00C5239C" w:rsidRPr="00F5382A">
        <w:t xml:space="preserve">ese procedures, whichever </w:t>
      </w:r>
      <w:r w:rsidR="00EA7207" w:rsidRPr="00F5382A">
        <w:t>occurs last</w:t>
      </w:r>
      <w:r w:rsidR="00C5239C" w:rsidRPr="00F5382A">
        <w:t xml:space="preserve">, and once per year thereafter.  In addition, such </w:t>
      </w:r>
      <w:r w:rsidR="00DC0BC1">
        <w:t>personnel</w:t>
      </w:r>
      <w:r w:rsidR="00C5239C" w:rsidRPr="00F5382A">
        <w:t xml:space="preserve"> will consult with the </w:t>
      </w:r>
      <w:r w:rsidR="007876F4">
        <w:t xml:space="preserve">Insider Threat Oversight Group </w:t>
      </w:r>
      <w:r w:rsidR="00C5239C" w:rsidRPr="00F5382A">
        <w:t>prior to developing or implementing any automated informati</w:t>
      </w:r>
      <w:r w:rsidR="003F526D">
        <w:t>on system to be maintained by the ITP</w:t>
      </w:r>
      <w:r w:rsidR="00C5239C" w:rsidRPr="00F5382A">
        <w:t xml:space="preserve"> that is reasonably likely to contain significant amounts of PII concerning United States Persons.</w:t>
      </w:r>
    </w:p>
    <w:p w:rsidR="00887B15" w:rsidRPr="00F5382A" w:rsidRDefault="00887B15" w:rsidP="00074365">
      <w:pPr>
        <w:ind w:firstLine="720"/>
      </w:pPr>
    </w:p>
    <w:p w:rsidR="002D60DC" w:rsidRPr="00F5382A" w:rsidRDefault="002D60DC" w:rsidP="002D60DC">
      <w:pPr>
        <w:rPr>
          <w:b/>
        </w:rPr>
      </w:pPr>
      <w:r w:rsidRPr="00F5382A">
        <w:rPr>
          <w:u w:val="single"/>
        </w:rPr>
        <w:t>CONCLUSION</w:t>
      </w:r>
    </w:p>
    <w:p w:rsidR="002D60DC" w:rsidRPr="00F5382A" w:rsidRDefault="002D60DC" w:rsidP="002D60DC">
      <w:pPr>
        <w:rPr>
          <w:b/>
        </w:rPr>
      </w:pPr>
    </w:p>
    <w:p w:rsidR="005E4D08" w:rsidRPr="00F5382A" w:rsidRDefault="002D60DC" w:rsidP="009124C2">
      <w:r w:rsidRPr="00F5382A">
        <w:t xml:space="preserve">These procedures </w:t>
      </w:r>
      <w:r w:rsidR="005B6EBA">
        <w:t>apply to</w:t>
      </w:r>
      <w:r w:rsidR="003F526D">
        <w:t xml:space="preserve"> all ITP</w:t>
      </w:r>
      <w:r w:rsidRPr="00F5382A">
        <w:t xml:space="preserve"> </w:t>
      </w:r>
      <w:r w:rsidR="00211037">
        <w:t xml:space="preserve">employees </w:t>
      </w:r>
      <w:r w:rsidR="00DC0BC1">
        <w:t xml:space="preserve">(including assignees, </w:t>
      </w:r>
      <w:proofErr w:type="spellStart"/>
      <w:r w:rsidR="00DC0BC1">
        <w:t>detailees</w:t>
      </w:r>
      <w:proofErr w:type="spellEnd"/>
      <w:r w:rsidR="00DC0BC1">
        <w:t xml:space="preserve">, and persons acting for </w:t>
      </w:r>
      <w:r w:rsidR="003F526D">
        <w:t>the ITP)</w:t>
      </w:r>
      <w:r w:rsidR="00DC0BC1">
        <w:t xml:space="preserve"> and con</w:t>
      </w:r>
      <w:r w:rsidR="003F526D">
        <w:t>tractors supporting the ITP</w:t>
      </w:r>
      <w:r w:rsidR="00DC0BC1">
        <w:t xml:space="preserve"> that provide</w:t>
      </w:r>
      <w:r w:rsidRPr="00F5382A">
        <w:t xml:space="preserve"> </w:t>
      </w:r>
      <w:r w:rsidR="00887B15" w:rsidRPr="00F5382A">
        <w:t>support</w:t>
      </w:r>
      <w:r w:rsidR="00DC0BC1">
        <w:t xml:space="preserve"> to</w:t>
      </w:r>
      <w:r w:rsidR="00887B15" w:rsidRPr="00F5382A">
        <w:t xml:space="preserve"> bulk data transfers or the hosting of shared repositories by </w:t>
      </w:r>
      <w:r w:rsidR="003F526D">
        <w:t>the ITP</w:t>
      </w:r>
      <w:r w:rsidR="00887B15" w:rsidRPr="00F5382A">
        <w:t xml:space="preserve">.  They do not substitute for legal review of specific information sharing activities, and any questions concerning the applicability or interpretation of these procedures should be referred to the </w:t>
      </w:r>
      <w:r w:rsidR="00C5239C" w:rsidRPr="00F5382A">
        <w:t>Associate General Counsel for Intelligence</w:t>
      </w:r>
      <w:r w:rsidR="00887B15" w:rsidRPr="00F5382A">
        <w:t>.</w:t>
      </w:r>
    </w:p>
    <w:p w:rsidR="00887B15" w:rsidRPr="00F5382A" w:rsidRDefault="00887B15" w:rsidP="002D60DC">
      <w:pPr>
        <w:ind w:firstLine="720"/>
      </w:pPr>
    </w:p>
    <w:p w:rsidR="00887B15" w:rsidRPr="00F5382A" w:rsidRDefault="00887B15" w:rsidP="009124C2">
      <w:r w:rsidRPr="00F5382A">
        <w:t>These procedures are set forth solely for the purpose of internal</w:t>
      </w:r>
      <w:r w:rsidR="003F526D">
        <w:t xml:space="preserve"> ITP</w:t>
      </w:r>
      <w:r w:rsidRPr="00F5382A">
        <w:t xml:space="preserve"> guidance.  They do not create any </w:t>
      </w:r>
      <w:r w:rsidR="00C5239C" w:rsidRPr="00F5382A">
        <w:t xml:space="preserve">substantive or procedural </w:t>
      </w:r>
      <w:r w:rsidRPr="00F5382A">
        <w:t>rights enforceable by law or by any other party in a civil or criminal matter, nor do they place any limitation on otherwise lawful investigative and litigation prerogatives of the United States Government.</w:t>
      </w:r>
    </w:p>
    <w:p w:rsidR="00887B15" w:rsidRPr="00F5382A" w:rsidRDefault="00887B15" w:rsidP="002D60DC">
      <w:pPr>
        <w:ind w:firstLine="720"/>
      </w:pPr>
    </w:p>
    <w:p w:rsidR="009124C2" w:rsidRDefault="009124C2" w:rsidP="009124C2">
      <w:r w:rsidRPr="009124C2">
        <w:t>Distribution:</w:t>
      </w:r>
    </w:p>
    <w:p w:rsidR="009124C2" w:rsidRPr="009124C2" w:rsidRDefault="009124C2" w:rsidP="009124C2"/>
    <w:p w:rsidR="009124C2" w:rsidRPr="009124C2" w:rsidRDefault="009124C2" w:rsidP="009124C2">
      <w:r w:rsidRPr="009124C2">
        <w:t xml:space="preserve">Chip </w:t>
      </w:r>
      <w:proofErr w:type="spellStart"/>
      <w:r w:rsidRPr="009124C2">
        <w:t>Fulghum</w:t>
      </w:r>
      <w:proofErr w:type="spellEnd"/>
      <w:r w:rsidRPr="009124C2">
        <w:t xml:space="preserve">, Acting Deputy </w:t>
      </w:r>
      <w:proofErr w:type="gramStart"/>
      <w:r w:rsidRPr="009124C2">
        <w:t>Under</w:t>
      </w:r>
      <w:proofErr w:type="gramEnd"/>
      <w:r w:rsidRPr="009124C2">
        <w:t xml:space="preserve"> Secretary for Management</w:t>
      </w:r>
    </w:p>
    <w:p w:rsidR="009124C2" w:rsidRPr="009124C2" w:rsidRDefault="009124C2" w:rsidP="009124C2">
      <w:r w:rsidRPr="009124C2">
        <w:t>Francis X. Taylor, Under Secretary for Intelligence and Analysis</w:t>
      </w:r>
    </w:p>
    <w:p w:rsidR="009124C2" w:rsidRPr="009124C2" w:rsidRDefault="009124C2" w:rsidP="009124C2">
      <w:r w:rsidRPr="009124C2">
        <w:t xml:space="preserve">Karen </w:t>
      </w:r>
      <w:proofErr w:type="spellStart"/>
      <w:r w:rsidRPr="009124C2">
        <w:t>Neuman</w:t>
      </w:r>
      <w:proofErr w:type="spellEnd"/>
      <w:r w:rsidRPr="009124C2">
        <w:t>, Chief Privacy Officer</w:t>
      </w:r>
    </w:p>
    <w:p w:rsidR="009124C2" w:rsidRPr="009124C2" w:rsidRDefault="009124C2" w:rsidP="009124C2">
      <w:r w:rsidRPr="009124C2">
        <w:t>Megan Mack, Officer for Civil Rights and Civil Liberties</w:t>
      </w:r>
    </w:p>
    <w:p w:rsidR="009124C2" w:rsidRPr="009124C2" w:rsidRDefault="009124C2" w:rsidP="009124C2">
      <w:proofErr w:type="spellStart"/>
      <w:r w:rsidRPr="009124C2">
        <w:t>Stevan</w:t>
      </w:r>
      <w:proofErr w:type="spellEnd"/>
      <w:r w:rsidRPr="009124C2">
        <w:t xml:space="preserve"> </w:t>
      </w:r>
      <w:proofErr w:type="spellStart"/>
      <w:r w:rsidRPr="009124C2">
        <w:t>Bunnell</w:t>
      </w:r>
      <w:proofErr w:type="spellEnd"/>
      <w:r w:rsidRPr="009124C2">
        <w:t>, General Counsel</w:t>
      </w:r>
    </w:p>
    <w:p w:rsidR="00F30072" w:rsidRPr="00F5382A" w:rsidRDefault="009124C2" w:rsidP="009124C2">
      <w:r w:rsidRPr="009124C2">
        <w:t xml:space="preserve">Matthew L. </w:t>
      </w:r>
      <w:proofErr w:type="spellStart"/>
      <w:r w:rsidRPr="009124C2">
        <w:t>Kronisch</w:t>
      </w:r>
      <w:proofErr w:type="spellEnd"/>
      <w:r w:rsidRPr="009124C2">
        <w:t>, Associate General Counsel for Intelligence</w:t>
      </w:r>
    </w:p>
    <w:sectPr w:rsidR="00F30072" w:rsidRPr="00F5382A" w:rsidSect="004119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8E" w:rsidRDefault="008B1B8E">
      <w:r>
        <w:separator/>
      </w:r>
    </w:p>
  </w:endnote>
  <w:endnote w:type="continuationSeparator" w:id="0">
    <w:p w:rsidR="008B1B8E" w:rsidRDefault="008B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9F" w:rsidRDefault="00BB1F0C">
    <w:pPr>
      <w:pStyle w:val="Footer1"/>
      <w:tabs>
        <w:tab w:val="clear" w:pos="8640"/>
        <w:tab w:val="right" w:pos="8260"/>
      </w:tabs>
      <w:ind w:right="360"/>
      <w:rPr>
        <w:color w:val="auto"/>
        <w:sz w:val="20"/>
      </w:rPr>
    </w:pPr>
    <w:r>
      <w:rPr>
        <w:noProof/>
      </w:rPr>
      <mc:AlternateContent>
        <mc:Choice Requires="wps">
          <w:drawing>
            <wp:anchor distT="0" distB="0" distL="114300" distR="114300" simplePos="0" relativeHeight="251656704" behindDoc="1" locked="0" layoutInCell="1" allowOverlap="1" wp14:anchorId="66DE75A8" wp14:editId="7F549F2B">
              <wp:simplePos x="0" y="0"/>
              <wp:positionH relativeFrom="page">
                <wp:posOffset>3886200</wp:posOffset>
              </wp:positionH>
              <wp:positionV relativeFrom="page">
                <wp:posOffset>9487535</wp:posOffset>
              </wp:positionV>
              <wp:extent cx="165100" cy="171450"/>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14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0149F" w:rsidRDefault="00A252D0">
                          <w:pPr>
                            <w:pStyle w:val="Footer1"/>
                            <w:rPr>
                              <w:color w:val="auto"/>
                              <w:sz w:val="20"/>
                            </w:rPr>
                          </w:pPr>
                          <w:r>
                            <w:rPr>
                              <w:rStyle w:val="PageNumber1"/>
                              <w:sz w:val="24"/>
                            </w:rPr>
                            <w:fldChar w:fldCharType="begin"/>
                          </w:r>
                          <w:r w:rsidR="00B0149F">
                            <w:rPr>
                              <w:rStyle w:val="PageNumber1"/>
                              <w:sz w:val="24"/>
                            </w:rPr>
                            <w:instrText xml:space="preserve"> PAGE </w:instrText>
                          </w:r>
                          <w:r>
                            <w:rPr>
                              <w:rStyle w:val="PageNumber1"/>
                              <w:sz w:val="24"/>
                            </w:rPr>
                            <w:fldChar w:fldCharType="separate"/>
                          </w:r>
                          <w:r w:rsidR="009124C2">
                            <w:rPr>
                              <w:rStyle w:val="PageNumber1"/>
                              <w:noProof/>
                              <w:sz w:val="24"/>
                            </w:rPr>
                            <w:t>4</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75A8" id="Rectangle 3" o:spid="_x0000_s1026" style="position:absolute;margin-left:306pt;margin-top:747.05pt;width:13pt;height:1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" stroked="f" strokeweight="1pt">
              <v:path arrowok="t"/>
              <v:textbox inset="0,0,0,0">
                <w:txbxContent>
                  <w:p w:rsidR="00B0149F" w:rsidRDefault="00A252D0">
                    <w:pPr>
                      <w:pStyle w:val="Footer1"/>
                      <w:rPr>
                        <w:color w:val="auto"/>
                        <w:sz w:val="20"/>
                      </w:rPr>
                    </w:pPr>
                    <w:r>
                      <w:rPr>
                        <w:rStyle w:val="PageNumber1"/>
                        <w:sz w:val="24"/>
                      </w:rPr>
                      <w:fldChar w:fldCharType="begin"/>
                    </w:r>
                    <w:r w:rsidR="00B0149F">
                      <w:rPr>
                        <w:rStyle w:val="PageNumber1"/>
                        <w:sz w:val="24"/>
                      </w:rPr>
                      <w:instrText xml:space="preserve"> PAGE </w:instrText>
                    </w:r>
                    <w:r>
                      <w:rPr>
                        <w:rStyle w:val="PageNumber1"/>
                        <w:sz w:val="24"/>
                      </w:rPr>
                      <w:fldChar w:fldCharType="separate"/>
                    </w:r>
                    <w:r w:rsidR="009124C2">
                      <w:rPr>
                        <w:rStyle w:val="PageNumber1"/>
                        <w:noProof/>
                        <w:sz w:val="24"/>
                      </w:rPr>
                      <w:t>4</w:t>
                    </w:r>
                    <w:r>
                      <w:rPr>
                        <w:rStyle w:val="PageNumber1"/>
                        <w:sz w:val="24"/>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9F" w:rsidRDefault="00BB1F0C">
    <w:pPr>
      <w:pStyle w:val="Footer1"/>
      <w:tabs>
        <w:tab w:val="clear" w:pos="8640"/>
        <w:tab w:val="right" w:pos="8260"/>
      </w:tabs>
      <w:ind w:right="360"/>
      <w:rPr>
        <w:color w:val="auto"/>
        <w:sz w:val="20"/>
      </w:rPr>
    </w:pPr>
    <w:r>
      <w:rPr>
        <w:noProof/>
      </w:rPr>
      <mc:AlternateContent>
        <mc:Choice Requires="wps">
          <w:drawing>
            <wp:anchor distT="0" distB="0" distL="114300" distR="114300" simplePos="0" relativeHeight="251655680" behindDoc="1" locked="0" layoutInCell="1" allowOverlap="1" wp14:anchorId="7091BE8F" wp14:editId="22486B3D">
              <wp:simplePos x="0" y="0"/>
              <wp:positionH relativeFrom="page">
                <wp:posOffset>3886200</wp:posOffset>
              </wp:positionH>
              <wp:positionV relativeFrom="page">
                <wp:posOffset>9487535</wp:posOffset>
              </wp:positionV>
              <wp:extent cx="165100" cy="171450"/>
              <wp:effectExtent l="0" t="63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14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0149F" w:rsidRDefault="00A252D0">
                          <w:pPr>
                            <w:pStyle w:val="Footer1"/>
                            <w:rPr>
                              <w:color w:val="auto"/>
                              <w:sz w:val="20"/>
                            </w:rPr>
                          </w:pPr>
                          <w:r>
                            <w:rPr>
                              <w:rStyle w:val="PageNumber1"/>
                              <w:sz w:val="24"/>
                            </w:rPr>
                            <w:fldChar w:fldCharType="begin"/>
                          </w:r>
                          <w:r w:rsidR="00B0149F">
                            <w:rPr>
                              <w:rStyle w:val="PageNumber1"/>
                              <w:sz w:val="24"/>
                            </w:rPr>
                            <w:instrText xml:space="preserve"> PAGE </w:instrText>
                          </w:r>
                          <w:r>
                            <w:rPr>
                              <w:rStyle w:val="PageNumber1"/>
                              <w:sz w:val="24"/>
                            </w:rPr>
                            <w:fldChar w:fldCharType="separate"/>
                          </w:r>
                          <w:r w:rsidR="009124C2">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1BE8F" id="Rectangle 4" o:spid="_x0000_s1027" style="position:absolute;margin-left:306pt;margin-top:747.05pt;width:13pt;height:1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" stroked="f" strokeweight="1pt">
              <v:path arrowok="t"/>
              <v:textbox inset="0,0,0,0">
                <w:txbxContent>
                  <w:p w:rsidR="00B0149F" w:rsidRDefault="00A252D0">
                    <w:pPr>
                      <w:pStyle w:val="Footer1"/>
                      <w:rPr>
                        <w:color w:val="auto"/>
                        <w:sz w:val="20"/>
                      </w:rPr>
                    </w:pPr>
                    <w:r>
                      <w:rPr>
                        <w:rStyle w:val="PageNumber1"/>
                        <w:sz w:val="24"/>
                      </w:rPr>
                      <w:fldChar w:fldCharType="begin"/>
                    </w:r>
                    <w:r w:rsidR="00B0149F">
                      <w:rPr>
                        <w:rStyle w:val="PageNumber1"/>
                        <w:sz w:val="24"/>
                      </w:rPr>
                      <w:instrText xml:space="preserve"> PAGE </w:instrText>
                    </w:r>
                    <w:r>
                      <w:rPr>
                        <w:rStyle w:val="PageNumber1"/>
                        <w:sz w:val="24"/>
                      </w:rPr>
                      <w:fldChar w:fldCharType="separate"/>
                    </w:r>
                    <w:r w:rsidR="009124C2">
                      <w:rPr>
                        <w:rStyle w:val="PageNumber1"/>
                        <w:noProof/>
                        <w:sz w:val="24"/>
                      </w:rPr>
                      <w:t>5</w:t>
                    </w:r>
                    <w:r>
                      <w:rPr>
                        <w:rStyle w:val="PageNumber1"/>
                        <w:sz w:val="24"/>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9F" w:rsidRDefault="00BB1F0C" w:rsidP="00F118C5">
    <w:pPr>
      <w:pStyle w:val="Footer1"/>
      <w:tabs>
        <w:tab w:val="clear" w:pos="8640"/>
        <w:tab w:val="right" w:pos="8260"/>
      </w:tabs>
      <w:ind w:right="360"/>
      <w:rPr>
        <w:color w:val="auto"/>
        <w:sz w:val="20"/>
      </w:rPr>
    </w:pPr>
    <w:r>
      <w:rPr>
        <w:noProof/>
      </w:rPr>
      <mc:AlternateContent>
        <mc:Choice Requires="wps">
          <w:drawing>
            <wp:anchor distT="0" distB="0" distL="114300" distR="114300" simplePos="0" relativeHeight="251661824" behindDoc="1" locked="0" layoutInCell="1" allowOverlap="1" wp14:anchorId="035755F8" wp14:editId="4889CFA7">
              <wp:simplePos x="0" y="0"/>
              <wp:positionH relativeFrom="page">
                <wp:posOffset>3886200</wp:posOffset>
              </wp:positionH>
              <wp:positionV relativeFrom="page">
                <wp:posOffset>9487535</wp:posOffset>
              </wp:positionV>
              <wp:extent cx="165100" cy="171450"/>
              <wp:effectExtent l="0" t="635"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14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0149F" w:rsidRDefault="00B0149F" w:rsidP="00F118C5">
                          <w:pPr>
                            <w:pStyle w:val="Footer1"/>
                            <w:rPr>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55F8" id="Rectangle 8" o:spid="_x0000_s1028" style="position:absolute;margin-left:306pt;margin-top:747.05pt;width:13pt;height: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" stroked="f" strokeweight="1pt">
              <v:path arrowok="t"/>
              <v:textbox inset="0,0,0,0">
                <w:txbxContent>
                  <w:p w:rsidR="00B0149F" w:rsidRDefault="00B0149F" w:rsidP="00F118C5">
                    <w:pPr>
                      <w:pStyle w:val="Footer1"/>
                      <w:rPr>
                        <w:color w:val="auto"/>
                        <w:sz w:val="20"/>
                      </w:rPr>
                    </w:pPr>
                  </w:p>
                </w:txbxContent>
              </v:textbox>
              <w10:wrap anchorx="page" anchory="page"/>
            </v:rect>
          </w:pict>
        </mc:Fallback>
      </mc:AlternateContent>
    </w:r>
  </w:p>
  <w:p w:rsidR="00B0149F" w:rsidRDefault="00B0149F" w:rsidP="00F118C5">
    <w:pPr>
      <w:pStyle w:val="Footer"/>
      <w:jc w:val="center"/>
    </w:pPr>
  </w:p>
  <w:p w:rsidR="00B0149F" w:rsidRDefault="00B014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8E" w:rsidRDefault="008B1B8E">
      <w:r>
        <w:separator/>
      </w:r>
    </w:p>
  </w:footnote>
  <w:footnote w:type="continuationSeparator" w:id="0">
    <w:p w:rsidR="008B1B8E" w:rsidRDefault="008B1B8E">
      <w:r>
        <w:continuationSeparator/>
      </w:r>
    </w:p>
  </w:footnote>
  <w:footnote w:id="1">
    <w:p w:rsidR="00E00E96" w:rsidRPr="00E870D1" w:rsidRDefault="00E00E96" w:rsidP="000F2FDA">
      <w:pPr>
        <w:pStyle w:val="FootnoteText"/>
        <w:spacing w:after="120"/>
      </w:pPr>
      <w:r>
        <w:rPr>
          <w:rStyle w:val="FootnoteReference"/>
        </w:rPr>
        <w:footnoteRef/>
      </w:r>
      <w:r>
        <w:t xml:space="preserve"> PII refers to a</w:t>
      </w:r>
      <w:r w:rsidRPr="00E00E96">
        <w:t>ny information that permits the identity of an individual to be directly or indirectly inferred, including any other information that is linked or linkable to that individual.  This definition applies regardless of whether the individual is a United States citizen, lawful permanent resident, visitor to the United States, DHS employee, or contractor.</w:t>
      </w:r>
      <w:r w:rsidR="00E870D1">
        <w:t xml:space="preserve">  </w:t>
      </w:r>
    </w:p>
  </w:footnote>
  <w:footnote w:id="2">
    <w:p w:rsidR="002A4ECF" w:rsidRDefault="002A4ECF" w:rsidP="002A4ECF">
      <w:pPr>
        <w:pStyle w:val="FootnoteText"/>
        <w:spacing w:after="120"/>
      </w:pPr>
      <w:r>
        <w:rPr>
          <w:rStyle w:val="FootnoteReference"/>
        </w:rPr>
        <w:footnoteRef/>
      </w:r>
      <w:r>
        <w:t xml:space="preserve"> It may not always be possible to enter into a formal </w:t>
      </w:r>
      <w:r w:rsidR="00A90BA5">
        <w:t>written terms and conditions</w:t>
      </w:r>
      <w:r>
        <w:t xml:space="preserve"> with a data provider.  For example, the terms and conditions of a contract with a vendor providing publicly available commercial information would not incorporate all of the terms and conditions required by this policy, </w:t>
      </w:r>
      <w:r w:rsidR="00DF245B">
        <w:t>or</w:t>
      </w:r>
      <w:r>
        <w:t xml:space="preserve"> a foreign partner may not be able to enter into a formal agreement for political </w:t>
      </w:r>
      <w:r w:rsidR="00DF245B">
        <w:t>reasons</w:t>
      </w:r>
      <w:r>
        <w:t xml:space="preserve">.  Where entry into a formal agreement is </w:t>
      </w:r>
      <w:r w:rsidR="00934563">
        <w:t>impermissible or impracticable</w:t>
      </w:r>
      <w:r w:rsidR="00DF245B">
        <w:t xml:space="preserve">, </w:t>
      </w:r>
      <w:r w:rsidR="00BD49EF">
        <w:t>the ITP</w:t>
      </w:r>
      <w:r w:rsidR="00BD49EF" w:rsidRPr="00F5382A">
        <w:t xml:space="preserve"> </w:t>
      </w:r>
      <w:r w:rsidR="00DF245B">
        <w:t>may satisfy the requirement for written terms and conditions through the development of an internal document provided that (1) a copy of this internal document is shared with the data provider</w:t>
      </w:r>
      <w:r w:rsidR="00D57BC0">
        <w:t>, as appropriate,</w:t>
      </w:r>
      <w:r w:rsidR="00DF245B">
        <w:t xml:space="preserve"> and (2) all other requirements of this policy are satisfied, including the need for certifications from </w:t>
      </w:r>
      <w:r w:rsidR="00F30072">
        <w:t xml:space="preserve">myself, </w:t>
      </w:r>
      <w:r w:rsidR="00DF245B">
        <w:t>the Associate General Counsel for Intelligence, the DHS Chief Privacy Officer, and the DHS Officer for Civil Rights and Civil Liberties.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9F" w:rsidRDefault="00B0149F">
    <w:pPr>
      <w:pStyle w:val="FreeForm"/>
      <w:rPr>
        <w:color w:val="auto"/>
        <w:sz w:val="20"/>
      </w:rP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9F" w:rsidRDefault="00B0149F">
    <w:pPr>
      <w:pStyle w:val="FreeForm"/>
      <w:rPr>
        <w:color w:val="auto"/>
        <w:sz w:val="20"/>
      </w:rPr>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9F" w:rsidRDefault="00B0149F" w:rsidP="00164EC9">
    <w:pPr>
      <w:pStyle w:val="Header1"/>
      <w:tabs>
        <w:tab w:val="clear" w:pos="8640"/>
        <w:tab w:val="right" w:pos="8620"/>
      </w:tabs>
      <w:spacing w:line="200" w:lineRule="exact"/>
      <w:ind w:left="5760"/>
      <w:rPr>
        <w:rFonts w:ascii="Times" w:hAnsi="Times"/>
        <w:b/>
        <w:color w:val="052850"/>
        <w:sz w:val="17"/>
      </w:rPr>
    </w:pPr>
    <w:r>
      <w:rPr>
        <w:rFonts w:ascii="Times" w:hAnsi="Times"/>
        <w:b/>
        <w:color w:val="052850"/>
        <w:sz w:val="17"/>
      </w:rPr>
      <w:t>U.S. Department of Homeland Security</w:t>
    </w:r>
  </w:p>
  <w:p w:rsidR="00B0149F" w:rsidRDefault="00B0149F" w:rsidP="00164EC9">
    <w:pPr>
      <w:pStyle w:val="Header1"/>
      <w:tabs>
        <w:tab w:val="clear" w:pos="8640"/>
        <w:tab w:val="left" w:pos="840"/>
        <w:tab w:val="right" w:pos="8620"/>
      </w:tabs>
      <w:spacing w:line="200" w:lineRule="exact"/>
      <w:ind w:left="5760"/>
      <w:rPr>
        <w:color w:val="auto"/>
        <w:sz w:val="20"/>
      </w:rPr>
    </w:pPr>
    <w:smartTag w:uri="urn:schemas-microsoft-com:office:smarttags" w:element="City">
      <w:smartTag w:uri="urn:schemas-microsoft-com:office:smarttags" w:element="place">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20528</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4099"/>
    <w:multiLevelType w:val="multilevel"/>
    <w:tmpl w:val="8864CB0A"/>
    <w:lvl w:ilvl="0">
      <w:start w:val="1"/>
      <w:numFmt w:val="decimal"/>
      <w:pStyle w:val="H3"/>
      <w:lvlText w:val="%1."/>
      <w:lvlJc w:val="left"/>
      <w:pPr>
        <w:tabs>
          <w:tab w:val="num" w:pos="1440"/>
        </w:tabs>
        <w:ind w:left="1440"/>
      </w:pPr>
      <w:rPr>
        <w:rFonts w:cs="Times New Roman" w:hint="default"/>
        <w:b w:val="0"/>
        <w:i w:val="0"/>
        <w:sz w:val="24"/>
        <w:szCs w:val="24"/>
      </w:rPr>
    </w:lvl>
    <w:lvl w:ilvl="1">
      <w:start w:val="1"/>
      <w:numFmt w:val="upperLetter"/>
      <w:lvlText w:val="%2."/>
      <w:lvlJc w:val="left"/>
      <w:pPr>
        <w:tabs>
          <w:tab w:val="num" w:pos="720"/>
        </w:tabs>
        <w:ind w:left="720"/>
      </w:pPr>
      <w:rPr>
        <w:rFonts w:ascii="Arial" w:hAnsi="Arial" w:cs="Times New Roman" w:hint="default"/>
        <w:sz w:val="24"/>
        <w:szCs w:val="24"/>
      </w:rPr>
    </w:lvl>
    <w:lvl w:ilvl="2">
      <w:start w:val="1"/>
      <w:numFmt w:val="decimal"/>
      <w:pStyle w:val="CharChar"/>
      <w:lvlText w:val="%3."/>
      <w:lvlJc w:val="left"/>
      <w:pPr>
        <w:tabs>
          <w:tab w:val="num" w:pos="720"/>
        </w:tabs>
        <w:ind w:left="1440"/>
      </w:pPr>
      <w:rPr>
        <w:rFonts w:ascii="Arial" w:hAnsi="Arial" w:cs="Times New Roman" w:hint="default"/>
        <w:b w:val="0"/>
        <w:i w:val="0"/>
        <w:sz w:val="24"/>
        <w:szCs w:val="24"/>
      </w:rPr>
    </w:lvl>
    <w:lvl w:ilvl="3">
      <w:start w:val="1"/>
      <w:numFmt w:val="lowerLetter"/>
      <w:pStyle w:val="H7"/>
      <w:lvlText w:val="%4."/>
      <w:lvlJc w:val="left"/>
      <w:pPr>
        <w:tabs>
          <w:tab w:val="num" w:pos="720"/>
        </w:tabs>
        <w:ind w:left="2160"/>
      </w:pPr>
      <w:rPr>
        <w:rFonts w:ascii="Arial" w:hAnsi="Arial" w:cs="Times New Roman" w:hint="default"/>
        <w:sz w:val="24"/>
        <w:szCs w:val="24"/>
      </w:rPr>
    </w:lvl>
    <w:lvl w:ilvl="4">
      <w:start w:val="1"/>
      <w:numFmt w:val="decimal"/>
      <w:lvlText w:val="(%5)"/>
      <w:lvlJc w:val="left"/>
      <w:pPr>
        <w:tabs>
          <w:tab w:val="num" w:pos="720"/>
        </w:tabs>
        <w:ind w:left="2880"/>
      </w:pPr>
      <w:rPr>
        <w:rFonts w:ascii="Arial" w:hAnsi="Arial" w:cs="Times New Roman" w:hint="default"/>
        <w:sz w:val="24"/>
        <w:szCs w:val="24"/>
      </w:rPr>
    </w:lvl>
    <w:lvl w:ilvl="5">
      <w:start w:val="1"/>
      <w:numFmt w:val="lowerLetter"/>
      <w:lvlText w:val="(%6)"/>
      <w:lvlJc w:val="left"/>
      <w:pPr>
        <w:tabs>
          <w:tab w:val="num" w:pos="720"/>
        </w:tabs>
        <w:ind w:left="3600"/>
      </w:pPr>
      <w:rPr>
        <w:rFonts w:ascii="Arial" w:hAnsi="Arial" w:cs="Times New Roman" w:hint="default"/>
        <w:sz w:val="24"/>
        <w:szCs w:val="24"/>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25B5DB5"/>
    <w:multiLevelType w:val="hybridMultilevel"/>
    <w:tmpl w:val="6B807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D395E"/>
    <w:multiLevelType w:val="hybridMultilevel"/>
    <w:tmpl w:val="366C2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6504A"/>
    <w:multiLevelType w:val="hybridMultilevel"/>
    <w:tmpl w:val="D5E8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9C1BC7"/>
    <w:multiLevelType w:val="multilevel"/>
    <w:tmpl w:val="FA321568"/>
    <w:lvl w:ilvl="0">
      <w:start w:val="1"/>
      <w:numFmt w:val="upperRoman"/>
      <w:pStyle w:val="DILAHandbook1"/>
      <w:lvlText w:val="%1.    "/>
      <w:lvlJc w:val="left"/>
      <w:pPr>
        <w:tabs>
          <w:tab w:val="num" w:pos="360"/>
        </w:tabs>
        <w:ind w:left="360" w:hanging="360"/>
      </w:pPr>
      <w:rPr>
        <w:rFonts w:ascii="Times New Roman" w:hAnsi="Times New Roman" w:cs="Times New Roman" w:hint="default"/>
        <w:b/>
        <w:i w:val="0"/>
        <w:sz w:val="24"/>
      </w:rPr>
    </w:lvl>
    <w:lvl w:ilvl="1">
      <w:start w:val="1"/>
      <w:numFmt w:val="upperLetter"/>
      <w:pStyle w:val="DILAHandbook2"/>
      <w:lvlText w:val="%2.  "/>
      <w:lvlJc w:val="left"/>
      <w:pPr>
        <w:tabs>
          <w:tab w:val="num" w:pos="720"/>
        </w:tabs>
        <w:ind w:left="720" w:hanging="360"/>
      </w:pPr>
      <w:rPr>
        <w:rFonts w:ascii="Times New Roman" w:hAnsi="Times New Roman" w:cs="Times New Roman" w:hint="default"/>
        <w:sz w:val="24"/>
      </w:rPr>
    </w:lvl>
    <w:lvl w:ilvl="2">
      <w:start w:val="1"/>
      <w:numFmt w:val="decimal"/>
      <w:pStyle w:val="DILAStyle3"/>
      <w:lvlText w:val="%3.  "/>
      <w:lvlJc w:val="left"/>
      <w:pPr>
        <w:tabs>
          <w:tab w:val="num" w:pos="1080"/>
        </w:tabs>
        <w:ind w:left="1080" w:hanging="360"/>
      </w:pPr>
      <w:rPr>
        <w:rFonts w:ascii="Times New Roman" w:hAnsi="Times New Roman" w:cs="Times New Roman" w:hint="default"/>
        <w:sz w:val="24"/>
      </w:rPr>
    </w:lvl>
    <w:lvl w:ilvl="3">
      <w:start w:val="1"/>
      <w:numFmt w:val="lowerRoman"/>
      <w:pStyle w:val="DILAStyle4"/>
      <w:lvlText w:val="(%4)  "/>
      <w:lvlJc w:val="left"/>
      <w:pPr>
        <w:tabs>
          <w:tab w:val="num" w:pos="1440"/>
        </w:tabs>
        <w:ind w:left="1440" w:hanging="360"/>
      </w:pPr>
      <w:rPr>
        <w:rFonts w:ascii="Times New Roman" w:hAnsi="Times New Roman" w:cs="Times New Roman" w:hint="default"/>
        <w:sz w:val="24"/>
      </w:rPr>
    </w:lvl>
    <w:lvl w:ilvl="4">
      <w:start w:val="1"/>
      <w:numFmt w:val="lowerLetter"/>
      <w:pStyle w:val="DILAStyle5"/>
      <w:lvlText w:val="(%5)  "/>
      <w:lvlJc w:val="left"/>
      <w:pPr>
        <w:tabs>
          <w:tab w:val="num" w:pos="1800"/>
        </w:tabs>
        <w:ind w:left="1800" w:hanging="360"/>
      </w:pPr>
      <w:rPr>
        <w:rFonts w:ascii="Times New Roman" w:hAnsi="Times New Roman" w:cs="Times New Roman" w:hint="default"/>
        <w:sz w:val="24"/>
      </w:rPr>
    </w:lvl>
    <w:lvl w:ilvl="5">
      <w:start w:val="1"/>
      <w:numFmt w:val="decimal"/>
      <w:lvlText w:val="(%6)  "/>
      <w:lvlJc w:val="left"/>
      <w:pPr>
        <w:tabs>
          <w:tab w:val="num" w:pos="2160"/>
        </w:tabs>
        <w:ind w:left="2160" w:hanging="360"/>
      </w:pPr>
      <w:rPr>
        <w:rFonts w:ascii="Times New Roman" w:hAnsi="Times New Roman" w:cs="Times New Roman" w:hint="default"/>
        <w:sz w:val="24"/>
      </w:rPr>
    </w:lvl>
    <w:lvl w:ilvl="6">
      <w:start w:val="1"/>
      <w:numFmt w:val="lowerRoman"/>
      <w:lvlText w:val="%7.  "/>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92700E2"/>
    <w:multiLevelType w:val="hybridMultilevel"/>
    <w:tmpl w:val="1F88F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C406C"/>
    <w:multiLevelType w:val="hybridMultilevel"/>
    <w:tmpl w:val="68029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53854"/>
    <w:multiLevelType w:val="hybridMultilevel"/>
    <w:tmpl w:val="3D40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AB"/>
    <w:rsid w:val="00000016"/>
    <w:rsid w:val="00001E38"/>
    <w:rsid w:val="0000204A"/>
    <w:rsid w:val="0000301B"/>
    <w:rsid w:val="00006638"/>
    <w:rsid w:val="00011D8F"/>
    <w:rsid w:val="00014E82"/>
    <w:rsid w:val="000201EA"/>
    <w:rsid w:val="000242F2"/>
    <w:rsid w:val="000269A7"/>
    <w:rsid w:val="00026EC6"/>
    <w:rsid w:val="00035B99"/>
    <w:rsid w:val="0003748E"/>
    <w:rsid w:val="0004063E"/>
    <w:rsid w:val="0004100D"/>
    <w:rsid w:val="0004679A"/>
    <w:rsid w:val="0004731F"/>
    <w:rsid w:val="0004757B"/>
    <w:rsid w:val="00052F25"/>
    <w:rsid w:val="000563AA"/>
    <w:rsid w:val="0006076E"/>
    <w:rsid w:val="00063591"/>
    <w:rsid w:val="00066218"/>
    <w:rsid w:val="000710AE"/>
    <w:rsid w:val="00071334"/>
    <w:rsid w:val="00071870"/>
    <w:rsid w:val="000724C2"/>
    <w:rsid w:val="00074365"/>
    <w:rsid w:val="00076828"/>
    <w:rsid w:val="000800DB"/>
    <w:rsid w:val="00080D43"/>
    <w:rsid w:val="0008113D"/>
    <w:rsid w:val="00091F37"/>
    <w:rsid w:val="000A01F2"/>
    <w:rsid w:val="000A1B21"/>
    <w:rsid w:val="000A4414"/>
    <w:rsid w:val="000B3020"/>
    <w:rsid w:val="000C0603"/>
    <w:rsid w:val="000C7432"/>
    <w:rsid w:val="000C77FA"/>
    <w:rsid w:val="000D15C8"/>
    <w:rsid w:val="000D3711"/>
    <w:rsid w:val="000D3A37"/>
    <w:rsid w:val="000D5D85"/>
    <w:rsid w:val="000D7067"/>
    <w:rsid w:val="000D77A2"/>
    <w:rsid w:val="000E6728"/>
    <w:rsid w:val="000E6BEC"/>
    <w:rsid w:val="000E7642"/>
    <w:rsid w:val="000F2FDA"/>
    <w:rsid w:val="000F76D5"/>
    <w:rsid w:val="00103D8A"/>
    <w:rsid w:val="001128EE"/>
    <w:rsid w:val="00125505"/>
    <w:rsid w:val="00125932"/>
    <w:rsid w:val="0012726A"/>
    <w:rsid w:val="00131E84"/>
    <w:rsid w:val="001325D5"/>
    <w:rsid w:val="00135508"/>
    <w:rsid w:val="0014117D"/>
    <w:rsid w:val="0015671E"/>
    <w:rsid w:val="00160161"/>
    <w:rsid w:val="001605B3"/>
    <w:rsid w:val="00163CB6"/>
    <w:rsid w:val="00164A9B"/>
    <w:rsid w:val="00164EC9"/>
    <w:rsid w:val="00166255"/>
    <w:rsid w:val="00171717"/>
    <w:rsid w:val="001739E5"/>
    <w:rsid w:val="001751E3"/>
    <w:rsid w:val="00175682"/>
    <w:rsid w:val="00175747"/>
    <w:rsid w:val="00182CB5"/>
    <w:rsid w:val="00183629"/>
    <w:rsid w:val="00186730"/>
    <w:rsid w:val="00187044"/>
    <w:rsid w:val="00194A72"/>
    <w:rsid w:val="001A2F59"/>
    <w:rsid w:val="001B1AFC"/>
    <w:rsid w:val="001B3613"/>
    <w:rsid w:val="001B3AC9"/>
    <w:rsid w:val="001C1F69"/>
    <w:rsid w:val="001C311C"/>
    <w:rsid w:val="001D0362"/>
    <w:rsid w:val="001D0B1A"/>
    <w:rsid w:val="001D5C1B"/>
    <w:rsid w:val="001E0539"/>
    <w:rsid w:val="001E3E2C"/>
    <w:rsid w:val="001E4412"/>
    <w:rsid w:val="001E45AF"/>
    <w:rsid w:val="001E5819"/>
    <w:rsid w:val="001E62A6"/>
    <w:rsid w:val="001F53CC"/>
    <w:rsid w:val="001F676B"/>
    <w:rsid w:val="00203BDD"/>
    <w:rsid w:val="002076FF"/>
    <w:rsid w:val="00210C95"/>
    <w:rsid w:val="00211037"/>
    <w:rsid w:val="002152A4"/>
    <w:rsid w:val="00215EDB"/>
    <w:rsid w:val="00216888"/>
    <w:rsid w:val="00220C60"/>
    <w:rsid w:val="002272D4"/>
    <w:rsid w:val="0022767D"/>
    <w:rsid w:val="00234BB6"/>
    <w:rsid w:val="002373D2"/>
    <w:rsid w:val="0023792E"/>
    <w:rsid w:val="00243C06"/>
    <w:rsid w:val="00245C10"/>
    <w:rsid w:val="0024624A"/>
    <w:rsid w:val="00256D0C"/>
    <w:rsid w:val="00263879"/>
    <w:rsid w:val="00264248"/>
    <w:rsid w:val="00265577"/>
    <w:rsid w:val="002668D8"/>
    <w:rsid w:val="00275D1C"/>
    <w:rsid w:val="00275E04"/>
    <w:rsid w:val="00276290"/>
    <w:rsid w:val="00280BCC"/>
    <w:rsid w:val="00283649"/>
    <w:rsid w:val="00284AA5"/>
    <w:rsid w:val="00287230"/>
    <w:rsid w:val="0029068A"/>
    <w:rsid w:val="002935A9"/>
    <w:rsid w:val="00293C87"/>
    <w:rsid w:val="00293F7D"/>
    <w:rsid w:val="00294B72"/>
    <w:rsid w:val="0029555D"/>
    <w:rsid w:val="002976A5"/>
    <w:rsid w:val="00297747"/>
    <w:rsid w:val="00297E59"/>
    <w:rsid w:val="002A018C"/>
    <w:rsid w:val="002A0E9F"/>
    <w:rsid w:val="002A463A"/>
    <w:rsid w:val="002A4ECF"/>
    <w:rsid w:val="002A7ECE"/>
    <w:rsid w:val="002B2697"/>
    <w:rsid w:val="002B2783"/>
    <w:rsid w:val="002B5A8A"/>
    <w:rsid w:val="002C2F6C"/>
    <w:rsid w:val="002C50F5"/>
    <w:rsid w:val="002C5AF7"/>
    <w:rsid w:val="002D3AE8"/>
    <w:rsid w:val="002D4FAC"/>
    <w:rsid w:val="002D60DC"/>
    <w:rsid w:val="002E2015"/>
    <w:rsid w:val="002F0B0C"/>
    <w:rsid w:val="002F0D3E"/>
    <w:rsid w:val="002F568B"/>
    <w:rsid w:val="00301AEA"/>
    <w:rsid w:val="00305A96"/>
    <w:rsid w:val="003103DF"/>
    <w:rsid w:val="00311938"/>
    <w:rsid w:val="0031250F"/>
    <w:rsid w:val="00315A88"/>
    <w:rsid w:val="00316769"/>
    <w:rsid w:val="003247B3"/>
    <w:rsid w:val="00334553"/>
    <w:rsid w:val="00334631"/>
    <w:rsid w:val="00335AED"/>
    <w:rsid w:val="00342A65"/>
    <w:rsid w:val="00344EE7"/>
    <w:rsid w:val="003469B3"/>
    <w:rsid w:val="0034709C"/>
    <w:rsid w:val="0035039A"/>
    <w:rsid w:val="00365473"/>
    <w:rsid w:val="00367236"/>
    <w:rsid w:val="00374E74"/>
    <w:rsid w:val="00375983"/>
    <w:rsid w:val="00377BE9"/>
    <w:rsid w:val="00382E21"/>
    <w:rsid w:val="003832C2"/>
    <w:rsid w:val="0039215E"/>
    <w:rsid w:val="003928D5"/>
    <w:rsid w:val="00392AEF"/>
    <w:rsid w:val="003945D8"/>
    <w:rsid w:val="003A04B9"/>
    <w:rsid w:val="003B087A"/>
    <w:rsid w:val="003B352D"/>
    <w:rsid w:val="003C79A9"/>
    <w:rsid w:val="003D02F8"/>
    <w:rsid w:val="003D25B6"/>
    <w:rsid w:val="003D4200"/>
    <w:rsid w:val="003E033E"/>
    <w:rsid w:val="003E4B81"/>
    <w:rsid w:val="003E69E9"/>
    <w:rsid w:val="003E71B1"/>
    <w:rsid w:val="003F0CCB"/>
    <w:rsid w:val="003F50EB"/>
    <w:rsid w:val="003F526D"/>
    <w:rsid w:val="003F5B7B"/>
    <w:rsid w:val="003F63C1"/>
    <w:rsid w:val="003F6E9D"/>
    <w:rsid w:val="003F7227"/>
    <w:rsid w:val="003F7D19"/>
    <w:rsid w:val="0040229C"/>
    <w:rsid w:val="00403735"/>
    <w:rsid w:val="00406548"/>
    <w:rsid w:val="004119DD"/>
    <w:rsid w:val="00412204"/>
    <w:rsid w:val="00412EB8"/>
    <w:rsid w:val="00416EF1"/>
    <w:rsid w:val="00417C5A"/>
    <w:rsid w:val="00420420"/>
    <w:rsid w:val="00421123"/>
    <w:rsid w:val="00421DBB"/>
    <w:rsid w:val="0043345D"/>
    <w:rsid w:val="0043350F"/>
    <w:rsid w:val="00442DB9"/>
    <w:rsid w:val="0044324C"/>
    <w:rsid w:val="004457B8"/>
    <w:rsid w:val="00453BBF"/>
    <w:rsid w:val="004548F0"/>
    <w:rsid w:val="004803BC"/>
    <w:rsid w:val="00482B92"/>
    <w:rsid w:val="004835A1"/>
    <w:rsid w:val="00490AE1"/>
    <w:rsid w:val="0049315D"/>
    <w:rsid w:val="004949D6"/>
    <w:rsid w:val="004A3988"/>
    <w:rsid w:val="004A3B90"/>
    <w:rsid w:val="004A61B1"/>
    <w:rsid w:val="004C02D7"/>
    <w:rsid w:val="004C0BF7"/>
    <w:rsid w:val="004C6AAF"/>
    <w:rsid w:val="004D344A"/>
    <w:rsid w:val="004D4B7E"/>
    <w:rsid w:val="004D7516"/>
    <w:rsid w:val="004E6B89"/>
    <w:rsid w:val="004E7F77"/>
    <w:rsid w:val="004F7399"/>
    <w:rsid w:val="005030D1"/>
    <w:rsid w:val="005047F8"/>
    <w:rsid w:val="0050649E"/>
    <w:rsid w:val="00507511"/>
    <w:rsid w:val="005117F6"/>
    <w:rsid w:val="00512500"/>
    <w:rsid w:val="00512F49"/>
    <w:rsid w:val="00522406"/>
    <w:rsid w:val="005334BE"/>
    <w:rsid w:val="0053497F"/>
    <w:rsid w:val="00540C8D"/>
    <w:rsid w:val="0054437D"/>
    <w:rsid w:val="00545655"/>
    <w:rsid w:val="00547D7A"/>
    <w:rsid w:val="005528B4"/>
    <w:rsid w:val="00552C1A"/>
    <w:rsid w:val="005533A4"/>
    <w:rsid w:val="00553B4A"/>
    <w:rsid w:val="00562CB3"/>
    <w:rsid w:val="00573756"/>
    <w:rsid w:val="00581EF9"/>
    <w:rsid w:val="00584407"/>
    <w:rsid w:val="00585895"/>
    <w:rsid w:val="0059189A"/>
    <w:rsid w:val="005929BD"/>
    <w:rsid w:val="005A1F61"/>
    <w:rsid w:val="005A451F"/>
    <w:rsid w:val="005A512D"/>
    <w:rsid w:val="005A6936"/>
    <w:rsid w:val="005B3697"/>
    <w:rsid w:val="005B4791"/>
    <w:rsid w:val="005B4AF8"/>
    <w:rsid w:val="005B6EBA"/>
    <w:rsid w:val="005C028D"/>
    <w:rsid w:val="005C06A1"/>
    <w:rsid w:val="005C189A"/>
    <w:rsid w:val="005C27D8"/>
    <w:rsid w:val="005C2DDE"/>
    <w:rsid w:val="005C433D"/>
    <w:rsid w:val="005D08B8"/>
    <w:rsid w:val="005D0EC3"/>
    <w:rsid w:val="005D102B"/>
    <w:rsid w:val="005D7977"/>
    <w:rsid w:val="005E2240"/>
    <w:rsid w:val="005E22E1"/>
    <w:rsid w:val="005E3C1C"/>
    <w:rsid w:val="005E4D08"/>
    <w:rsid w:val="005E7D1C"/>
    <w:rsid w:val="005F53E0"/>
    <w:rsid w:val="00601D41"/>
    <w:rsid w:val="006042CF"/>
    <w:rsid w:val="0060759C"/>
    <w:rsid w:val="00610E55"/>
    <w:rsid w:val="006117D5"/>
    <w:rsid w:val="00612BCF"/>
    <w:rsid w:val="006138CC"/>
    <w:rsid w:val="00622DE8"/>
    <w:rsid w:val="006259A1"/>
    <w:rsid w:val="00626324"/>
    <w:rsid w:val="00633DD6"/>
    <w:rsid w:val="00641E4C"/>
    <w:rsid w:val="006476A0"/>
    <w:rsid w:val="00647ADC"/>
    <w:rsid w:val="00656290"/>
    <w:rsid w:val="00662E9F"/>
    <w:rsid w:val="006649A5"/>
    <w:rsid w:val="00672B01"/>
    <w:rsid w:val="00674F95"/>
    <w:rsid w:val="00676951"/>
    <w:rsid w:val="00680B91"/>
    <w:rsid w:val="006914A8"/>
    <w:rsid w:val="0069180F"/>
    <w:rsid w:val="00692F44"/>
    <w:rsid w:val="00693613"/>
    <w:rsid w:val="00697A71"/>
    <w:rsid w:val="006A0D59"/>
    <w:rsid w:val="006A17F6"/>
    <w:rsid w:val="006A1BD2"/>
    <w:rsid w:val="006A23A5"/>
    <w:rsid w:val="006A6FB2"/>
    <w:rsid w:val="006B0712"/>
    <w:rsid w:val="006B131C"/>
    <w:rsid w:val="006B28A7"/>
    <w:rsid w:val="006B4258"/>
    <w:rsid w:val="006D01E0"/>
    <w:rsid w:val="006D1F78"/>
    <w:rsid w:val="006D27C6"/>
    <w:rsid w:val="006D4B2A"/>
    <w:rsid w:val="006E0515"/>
    <w:rsid w:val="006E6479"/>
    <w:rsid w:val="006E6BC8"/>
    <w:rsid w:val="006F347D"/>
    <w:rsid w:val="006F62E2"/>
    <w:rsid w:val="006F7B12"/>
    <w:rsid w:val="007071F9"/>
    <w:rsid w:val="007103A1"/>
    <w:rsid w:val="00713046"/>
    <w:rsid w:val="00714525"/>
    <w:rsid w:val="007179CE"/>
    <w:rsid w:val="0072038D"/>
    <w:rsid w:val="0072117B"/>
    <w:rsid w:val="0072234C"/>
    <w:rsid w:val="0072344F"/>
    <w:rsid w:val="00726B64"/>
    <w:rsid w:val="00726EB0"/>
    <w:rsid w:val="0073246D"/>
    <w:rsid w:val="0074063F"/>
    <w:rsid w:val="007413ED"/>
    <w:rsid w:val="007428CB"/>
    <w:rsid w:val="00746472"/>
    <w:rsid w:val="00747024"/>
    <w:rsid w:val="007472C8"/>
    <w:rsid w:val="00763872"/>
    <w:rsid w:val="00763FC9"/>
    <w:rsid w:val="00766084"/>
    <w:rsid w:val="00766479"/>
    <w:rsid w:val="0078358D"/>
    <w:rsid w:val="0078387C"/>
    <w:rsid w:val="007856E0"/>
    <w:rsid w:val="007876F4"/>
    <w:rsid w:val="00787D5D"/>
    <w:rsid w:val="007936ED"/>
    <w:rsid w:val="0079399B"/>
    <w:rsid w:val="007A0F8D"/>
    <w:rsid w:val="007A4AB2"/>
    <w:rsid w:val="007A5632"/>
    <w:rsid w:val="007A7A6B"/>
    <w:rsid w:val="007B0824"/>
    <w:rsid w:val="007B1D1C"/>
    <w:rsid w:val="007B2D4C"/>
    <w:rsid w:val="007B50D8"/>
    <w:rsid w:val="007B5728"/>
    <w:rsid w:val="007B7A36"/>
    <w:rsid w:val="007C0CB7"/>
    <w:rsid w:val="007C47E6"/>
    <w:rsid w:val="007C4D0D"/>
    <w:rsid w:val="007C78B0"/>
    <w:rsid w:val="007D0EFB"/>
    <w:rsid w:val="007D35BB"/>
    <w:rsid w:val="007D548B"/>
    <w:rsid w:val="007D5A3C"/>
    <w:rsid w:val="007D7751"/>
    <w:rsid w:val="007E16AF"/>
    <w:rsid w:val="007E16DD"/>
    <w:rsid w:val="007E2904"/>
    <w:rsid w:val="007E794A"/>
    <w:rsid w:val="007F4F46"/>
    <w:rsid w:val="007F5345"/>
    <w:rsid w:val="007F62D8"/>
    <w:rsid w:val="0080012F"/>
    <w:rsid w:val="00801F61"/>
    <w:rsid w:val="008043E2"/>
    <w:rsid w:val="00805757"/>
    <w:rsid w:val="008076A1"/>
    <w:rsid w:val="00810FDC"/>
    <w:rsid w:val="008126C0"/>
    <w:rsid w:val="00813B91"/>
    <w:rsid w:val="00814191"/>
    <w:rsid w:val="0081760C"/>
    <w:rsid w:val="0082016D"/>
    <w:rsid w:val="00821269"/>
    <w:rsid w:val="0082181D"/>
    <w:rsid w:val="00822D94"/>
    <w:rsid w:val="00826513"/>
    <w:rsid w:val="00831069"/>
    <w:rsid w:val="00834A01"/>
    <w:rsid w:val="008403E2"/>
    <w:rsid w:val="0084691A"/>
    <w:rsid w:val="00847866"/>
    <w:rsid w:val="0085347B"/>
    <w:rsid w:val="008539AF"/>
    <w:rsid w:val="00863203"/>
    <w:rsid w:val="008637F3"/>
    <w:rsid w:val="0086505F"/>
    <w:rsid w:val="008651CD"/>
    <w:rsid w:val="008724B7"/>
    <w:rsid w:val="00872ADC"/>
    <w:rsid w:val="00886591"/>
    <w:rsid w:val="00887B15"/>
    <w:rsid w:val="008A573A"/>
    <w:rsid w:val="008A79F3"/>
    <w:rsid w:val="008B128C"/>
    <w:rsid w:val="008B1B8E"/>
    <w:rsid w:val="008B3BCD"/>
    <w:rsid w:val="008B41EF"/>
    <w:rsid w:val="008B4D4F"/>
    <w:rsid w:val="008C4926"/>
    <w:rsid w:val="008C71F4"/>
    <w:rsid w:val="008D01EE"/>
    <w:rsid w:val="008D1CBB"/>
    <w:rsid w:val="008D70B9"/>
    <w:rsid w:val="008E0D7F"/>
    <w:rsid w:val="008E176F"/>
    <w:rsid w:val="008E6996"/>
    <w:rsid w:val="008F4208"/>
    <w:rsid w:val="008F65C3"/>
    <w:rsid w:val="008F7619"/>
    <w:rsid w:val="00900F47"/>
    <w:rsid w:val="00904D61"/>
    <w:rsid w:val="00911052"/>
    <w:rsid w:val="009124C2"/>
    <w:rsid w:val="0091475C"/>
    <w:rsid w:val="009173AD"/>
    <w:rsid w:val="00917D96"/>
    <w:rsid w:val="009200E5"/>
    <w:rsid w:val="00921784"/>
    <w:rsid w:val="009261E4"/>
    <w:rsid w:val="00932461"/>
    <w:rsid w:val="00932A68"/>
    <w:rsid w:val="00932F07"/>
    <w:rsid w:val="00934563"/>
    <w:rsid w:val="00935A26"/>
    <w:rsid w:val="009414F3"/>
    <w:rsid w:val="00950B8E"/>
    <w:rsid w:val="0095335F"/>
    <w:rsid w:val="00957D1B"/>
    <w:rsid w:val="009616DF"/>
    <w:rsid w:val="009753CD"/>
    <w:rsid w:val="00982886"/>
    <w:rsid w:val="0098578C"/>
    <w:rsid w:val="00987743"/>
    <w:rsid w:val="00991DE3"/>
    <w:rsid w:val="009932DF"/>
    <w:rsid w:val="00994335"/>
    <w:rsid w:val="00995996"/>
    <w:rsid w:val="009A12C1"/>
    <w:rsid w:val="009A27DA"/>
    <w:rsid w:val="009A629C"/>
    <w:rsid w:val="009B0ECF"/>
    <w:rsid w:val="009C6749"/>
    <w:rsid w:val="009D2962"/>
    <w:rsid w:val="009D4D51"/>
    <w:rsid w:val="009E4B16"/>
    <w:rsid w:val="009F2B63"/>
    <w:rsid w:val="009F49F9"/>
    <w:rsid w:val="009F4E36"/>
    <w:rsid w:val="009F7A45"/>
    <w:rsid w:val="00A003C3"/>
    <w:rsid w:val="00A02AE4"/>
    <w:rsid w:val="00A02CA5"/>
    <w:rsid w:val="00A0482B"/>
    <w:rsid w:val="00A11EF7"/>
    <w:rsid w:val="00A15A01"/>
    <w:rsid w:val="00A17C96"/>
    <w:rsid w:val="00A2329A"/>
    <w:rsid w:val="00A24FA9"/>
    <w:rsid w:val="00A252D0"/>
    <w:rsid w:val="00A253AF"/>
    <w:rsid w:val="00A34C87"/>
    <w:rsid w:val="00A4004D"/>
    <w:rsid w:val="00A402AC"/>
    <w:rsid w:val="00A416D4"/>
    <w:rsid w:val="00A42F16"/>
    <w:rsid w:val="00A46679"/>
    <w:rsid w:val="00A529F4"/>
    <w:rsid w:val="00A62FDD"/>
    <w:rsid w:val="00A6503F"/>
    <w:rsid w:val="00A656C3"/>
    <w:rsid w:val="00A65ACC"/>
    <w:rsid w:val="00A70266"/>
    <w:rsid w:val="00A712AA"/>
    <w:rsid w:val="00A71965"/>
    <w:rsid w:val="00A71E44"/>
    <w:rsid w:val="00A72EC6"/>
    <w:rsid w:val="00A73809"/>
    <w:rsid w:val="00A7732E"/>
    <w:rsid w:val="00A77952"/>
    <w:rsid w:val="00A80145"/>
    <w:rsid w:val="00A83AE2"/>
    <w:rsid w:val="00A856B4"/>
    <w:rsid w:val="00A90BA5"/>
    <w:rsid w:val="00A92938"/>
    <w:rsid w:val="00A95C06"/>
    <w:rsid w:val="00A95CD2"/>
    <w:rsid w:val="00A97FC8"/>
    <w:rsid w:val="00AA0BA8"/>
    <w:rsid w:val="00AA2EA9"/>
    <w:rsid w:val="00AA786A"/>
    <w:rsid w:val="00AB1A52"/>
    <w:rsid w:val="00AB482B"/>
    <w:rsid w:val="00AB642B"/>
    <w:rsid w:val="00AB64AA"/>
    <w:rsid w:val="00AC32F6"/>
    <w:rsid w:val="00AC3879"/>
    <w:rsid w:val="00AD1ED0"/>
    <w:rsid w:val="00AD5C2C"/>
    <w:rsid w:val="00AE1C02"/>
    <w:rsid w:val="00AF23B3"/>
    <w:rsid w:val="00AF270A"/>
    <w:rsid w:val="00B00829"/>
    <w:rsid w:val="00B00D68"/>
    <w:rsid w:val="00B0149F"/>
    <w:rsid w:val="00B0388A"/>
    <w:rsid w:val="00B11850"/>
    <w:rsid w:val="00B13053"/>
    <w:rsid w:val="00B13E86"/>
    <w:rsid w:val="00B27099"/>
    <w:rsid w:val="00B33716"/>
    <w:rsid w:val="00B35C07"/>
    <w:rsid w:val="00B37292"/>
    <w:rsid w:val="00B40EC2"/>
    <w:rsid w:val="00B41881"/>
    <w:rsid w:val="00B41D93"/>
    <w:rsid w:val="00B430F4"/>
    <w:rsid w:val="00B446D0"/>
    <w:rsid w:val="00B47742"/>
    <w:rsid w:val="00B500FC"/>
    <w:rsid w:val="00B539C0"/>
    <w:rsid w:val="00B5429E"/>
    <w:rsid w:val="00B57449"/>
    <w:rsid w:val="00B66854"/>
    <w:rsid w:val="00B67EEC"/>
    <w:rsid w:val="00B708C0"/>
    <w:rsid w:val="00B712C0"/>
    <w:rsid w:val="00B73D21"/>
    <w:rsid w:val="00B776F1"/>
    <w:rsid w:val="00B824C9"/>
    <w:rsid w:val="00B83DD4"/>
    <w:rsid w:val="00B85DA1"/>
    <w:rsid w:val="00B9179A"/>
    <w:rsid w:val="00B94455"/>
    <w:rsid w:val="00B948AF"/>
    <w:rsid w:val="00B96B53"/>
    <w:rsid w:val="00B979A1"/>
    <w:rsid w:val="00BA1DE7"/>
    <w:rsid w:val="00BA3091"/>
    <w:rsid w:val="00BA30E8"/>
    <w:rsid w:val="00BA3B33"/>
    <w:rsid w:val="00BA4BC6"/>
    <w:rsid w:val="00BA70FE"/>
    <w:rsid w:val="00BB1F0C"/>
    <w:rsid w:val="00BB235C"/>
    <w:rsid w:val="00BB370D"/>
    <w:rsid w:val="00BB3A1D"/>
    <w:rsid w:val="00BB5D76"/>
    <w:rsid w:val="00BB5E7C"/>
    <w:rsid w:val="00BC2A4F"/>
    <w:rsid w:val="00BC7010"/>
    <w:rsid w:val="00BC74A1"/>
    <w:rsid w:val="00BD0E6A"/>
    <w:rsid w:val="00BD49EF"/>
    <w:rsid w:val="00BD508B"/>
    <w:rsid w:val="00BE0EE5"/>
    <w:rsid w:val="00BE43A8"/>
    <w:rsid w:val="00BE43EC"/>
    <w:rsid w:val="00BE7A95"/>
    <w:rsid w:val="00BF4539"/>
    <w:rsid w:val="00BF5321"/>
    <w:rsid w:val="00BF6036"/>
    <w:rsid w:val="00C01B41"/>
    <w:rsid w:val="00C02911"/>
    <w:rsid w:val="00C02ADC"/>
    <w:rsid w:val="00C05624"/>
    <w:rsid w:val="00C17517"/>
    <w:rsid w:val="00C17CF2"/>
    <w:rsid w:val="00C20574"/>
    <w:rsid w:val="00C20B49"/>
    <w:rsid w:val="00C229CE"/>
    <w:rsid w:val="00C23174"/>
    <w:rsid w:val="00C232D2"/>
    <w:rsid w:val="00C23FF5"/>
    <w:rsid w:val="00C24103"/>
    <w:rsid w:val="00C26798"/>
    <w:rsid w:val="00C325EF"/>
    <w:rsid w:val="00C3585E"/>
    <w:rsid w:val="00C416A7"/>
    <w:rsid w:val="00C43FB4"/>
    <w:rsid w:val="00C45011"/>
    <w:rsid w:val="00C4617D"/>
    <w:rsid w:val="00C469BE"/>
    <w:rsid w:val="00C47FDB"/>
    <w:rsid w:val="00C5239C"/>
    <w:rsid w:val="00C544A8"/>
    <w:rsid w:val="00C60A24"/>
    <w:rsid w:val="00C656AB"/>
    <w:rsid w:val="00C66F95"/>
    <w:rsid w:val="00C72F38"/>
    <w:rsid w:val="00C82F28"/>
    <w:rsid w:val="00C85B2A"/>
    <w:rsid w:val="00C90F24"/>
    <w:rsid w:val="00C92B66"/>
    <w:rsid w:val="00C950AE"/>
    <w:rsid w:val="00C9543B"/>
    <w:rsid w:val="00C97AA2"/>
    <w:rsid w:val="00CA0D02"/>
    <w:rsid w:val="00CA3557"/>
    <w:rsid w:val="00CA5DF7"/>
    <w:rsid w:val="00CA6659"/>
    <w:rsid w:val="00CA7926"/>
    <w:rsid w:val="00CA7D9C"/>
    <w:rsid w:val="00CB236C"/>
    <w:rsid w:val="00CB5D45"/>
    <w:rsid w:val="00CB6558"/>
    <w:rsid w:val="00CC2086"/>
    <w:rsid w:val="00CC227A"/>
    <w:rsid w:val="00CC3DC8"/>
    <w:rsid w:val="00CD142A"/>
    <w:rsid w:val="00CD1629"/>
    <w:rsid w:val="00CD4C12"/>
    <w:rsid w:val="00CE3B19"/>
    <w:rsid w:val="00CE5C3A"/>
    <w:rsid w:val="00CF48FB"/>
    <w:rsid w:val="00CF5C5C"/>
    <w:rsid w:val="00D05B98"/>
    <w:rsid w:val="00D06853"/>
    <w:rsid w:val="00D06E51"/>
    <w:rsid w:val="00D075F4"/>
    <w:rsid w:val="00D10290"/>
    <w:rsid w:val="00D109ED"/>
    <w:rsid w:val="00D11338"/>
    <w:rsid w:val="00D1259D"/>
    <w:rsid w:val="00D13B35"/>
    <w:rsid w:val="00D203D0"/>
    <w:rsid w:val="00D222FD"/>
    <w:rsid w:val="00D24A1E"/>
    <w:rsid w:val="00D24B1B"/>
    <w:rsid w:val="00D3071E"/>
    <w:rsid w:val="00D3148B"/>
    <w:rsid w:val="00D33136"/>
    <w:rsid w:val="00D34877"/>
    <w:rsid w:val="00D35733"/>
    <w:rsid w:val="00D405A6"/>
    <w:rsid w:val="00D46C29"/>
    <w:rsid w:val="00D573DD"/>
    <w:rsid w:val="00D57BC0"/>
    <w:rsid w:val="00D64327"/>
    <w:rsid w:val="00D648E4"/>
    <w:rsid w:val="00D74CD6"/>
    <w:rsid w:val="00D8335B"/>
    <w:rsid w:val="00D92472"/>
    <w:rsid w:val="00D9480D"/>
    <w:rsid w:val="00D96D3A"/>
    <w:rsid w:val="00DA07D7"/>
    <w:rsid w:val="00DA4792"/>
    <w:rsid w:val="00DA54F9"/>
    <w:rsid w:val="00DB3A48"/>
    <w:rsid w:val="00DB570D"/>
    <w:rsid w:val="00DB7EC1"/>
    <w:rsid w:val="00DC0BC1"/>
    <w:rsid w:val="00DC0E95"/>
    <w:rsid w:val="00DC6E45"/>
    <w:rsid w:val="00DC7083"/>
    <w:rsid w:val="00DD03BD"/>
    <w:rsid w:val="00DD0B52"/>
    <w:rsid w:val="00DD1475"/>
    <w:rsid w:val="00DE1719"/>
    <w:rsid w:val="00DF245B"/>
    <w:rsid w:val="00DF3DA8"/>
    <w:rsid w:val="00DF4E3D"/>
    <w:rsid w:val="00E006D3"/>
    <w:rsid w:val="00E00E96"/>
    <w:rsid w:val="00E03718"/>
    <w:rsid w:val="00E04C55"/>
    <w:rsid w:val="00E0768D"/>
    <w:rsid w:val="00E11FF6"/>
    <w:rsid w:val="00E12527"/>
    <w:rsid w:val="00E17045"/>
    <w:rsid w:val="00E212FB"/>
    <w:rsid w:val="00E215F6"/>
    <w:rsid w:val="00E216DF"/>
    <w:rsid w:val="00E22548"/>
    <w:rsid w:val="00E25663"/>
    <w:rsid w:val="00E2578E"/>
    <w:rsid w:val="00E26509"/>
    <w:rsid w:val="00E27389"/>
    <w:rsid w:val="00E353ED"/>
    <w:rsid w:val="00E36E20"/>
    <w:rsid w:val="00E36E67"/>
    <w:rsid w:val="00E3782F"/>
    <w:rsid w:val="00E41C18"/>
    <w:rsid w:val="00E42068"/>
    <w:rsid w:val="00E448C2"/>
    <w:rsid w:val="00E4720C"/>
    <w:rsid w:val="00E55097"/>
    <w:rsid w:val="00E55F17"/>
    <w:rsid w:val="00E827BC"/>
    <w:rsid w:val="00E856AB"/>
    <w:rsid w:val="00E85987"/>
    <w:rsid w:val="00E870D1"/>
    <w:rsid w:val="00E90C00"/>
    <w:rsid w:val="00E91883"/>
    <w:rsid w:val="00E92D71"/>
    <w:rsid w:val="00E92F6E"/>
    <w:rsid w:val="00E95565"/>
    <w:rsid w:val="00EA237D"/>
    <w:rsid w:val="00EA2976"/>
    <w:rsid w:val="00EA7207"/>
    <w:rsid w:val="00EB6130"/>
    <w:rsid w:val="00EC0217"/>
    <w:rsid w:val="00EC2B63"/>
    <w:rsid w:val="00ED0136"/>
    <w:rsid w:val="00ED7825"/>
    <w:rsid w:val="00EE40CE"/>
    <w:rsid w:val="00EE457A"/>
    <w:rsid w:val="00EE5608"/>
    <w:rsid w:val="00EF608A"/>
    <w:rsid w:val="00EF62F3"/>
    <w:rsid w:val="00EF6A23"/>
    <w:rsid w:val="00EF7683"/>
    <w:rsid w:val="00F00A97"/>
    <w:rsid w:val="00F018B2"/>
    <w:rsid w:val="00F03B87"/>
    <w:rsid w:val="00F03C61"/>
    <w:rsid w:val="00F07C92"/>
    <w:rsid w:val="00F118C5"/>
    <w:rsid w:val="00F12118"/>
    <w:rsid w:val="00F14400"/>
    <w:rsid w:val="00F14707"/>
    <w:rsid w:val="00F15D34"/>
    <w:rsid w:val="00F30072"/>
    <w:rsid w:val="00F36BCA"/>
    <w:rsid w:val="00F37DF0"/>
    <w:rsid w:val="00F4059F"/>
    <w:rsid w:val="00F40F0E"/>
    <w:rsid w:val="00F41B1D"/>
    <w:rsid w:val="00F42E94"/>
    <w:rsid w:val="00F434D0"/>
    <w:rsid w:val="00F46595"/>
    <w:rsid w:val="00F5382A"/>
    <w:rsid w:val="00F565D2"/>
    <w:rsid w:val="00F56EE8"/>
    <w:rsid w:val="00F609F8"/>
    <w:rsid w:val="00F63517"/>
    <w:rsid w:val="00F6377A"/>
    <w:rsid w:val="00F66056"/>
    <w:rsid w:val="00F75C26"/>
    <w:rsid w:val="00F763BE"/>
    <w:rsid w:val="00F80988"/>
    <w:rsid w:val="00F829E1"/>
    <w:rsid w:val="00F84BFD"/>
    <w:rsid w:val="00F900AB"/>
    <w:rsid w:val="00F9286B"/>
    <w:rsid w:val="00F92D83"/>
    <w:rsid w:val="00F97479"/>
    <w:rsid w:val="00FA04C9"/>
    <w:rsid w:val="00FA480A"/>
    <w:rsid w:val="00FA5BFC"/>
    <w:rsid w:val="00FB03FD"/>
    <w:rsid w:val="00FB0D5F"/>
    <w:rsid w:val="00FB2AC2"/>
    <w:rsid w:val="00FB343D"/>
    <w:rsid w:val="00FB49A3"/>
    <w:rsid w:val="00FB4C75"/>
    <w:rsid w:val="00FB594E"/>
    <w:rsid w:val="00FB7CAE"/>
    <w:rsid w:val="00FC3321"/>
    <w:rsid w:val="00FC3445"/>
    <w:rsid w:val="00FC62E9"/>
    <w:rsid w:val="00FD4084"/>
    <w:rsid w:val="00FD7C36"/>
    <w:rsid w:val="00FE254A"/>
    <w:rsid w:val="00FE6570"/>
    <w:rsid w:val="00FF2BE7"/>
    <w:rsid w:val="00FF34CA"/>
    <w:rsid w:val="00FF533E"/>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E55BE96-597D-4309-9AB4-8CCB45C6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3C1"/>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locked/>
    <w:rsid w:val="00C656AB"/>
    <w:rPr>
      <w:rFonts w:ascii="Tahoma" w:hAnsi="Tahoma" w:cs="Tahoma"/>
      <w:sz w:val="16"/>
      <w:szCs w:val="16"/>
    </w:rPr>
  </w:style>
  <w:style w:type="character" w:customStyle="1" w:styleId="BalloonTextChar">
    <w:name w:val="Balloon Text Char"/>
    <w:basedOn w:val="DefaultParagraphFont"/>
    <w:link w:val="BalloonText"/>
    <w:uiPriority w:val="99"/>
    <w:locked/>
    <w:rsid w:val="00C656AB"/>
    <w:rPr>
      <w:rFonts w:ascii="Tahoma" w:hAnsi="Tahoma" w:cs="Tahoma"/>
      <w:color w:val="000000"/>
      <w:sz w:val="16"/>
      <w:szCs w:val="16"/>
    </w:rPr>
  </w:style>
  <w:style w:type="paragraph" w:customStyle="1" w:styleId="FreeForm">
    <w:name w:val="Free Form"/>
    <w:uiPriority w:val="99"/>
    <w:rsid w:val="003945D8"/>
    <w:rPr>
      <w:color w:val="000000"/>
      <w:szCs w:val="20"/>
    </w:rPr>
  </w:style>
  <w:style w:type="paragraph" w:customStyle="1" w:styleId="Footer1">
    <w:name w:val="Footer1"/>
    <w:uiPriority w:val="99"/>
    <w:rsid w:val="003945D8"/>
    <w:pPr>
      <w:tabs>
        <w:tab w:val="center" w:pos="4320"/>
        <w:tab w:val="right" w:pos="8640"/>
      </w:tabs>
    </w:pPr>
    <w:rPr>
      <w:color w:val="000000"/>
      <w:sz w:val="24"/>
      <w:szCs w:val="20"/>
    </w:rPr>
  </w:style>
  <w:style w:type="paragraph" w:customStyle="1" w:styleId="Header1">
    <w:name w:val="Header1"/>
    <w:uiPriority w:val="99"/>
    <w:rsid w:val="003945D8"/>
    <w:pPr>
      <w:tabs>
        <w:tab w:val="center" w:pos="4320"/>
        <w:tab w:val="right" w:pos="8640"/>
      </w:tabs>
    </w:pPr>
    <w:rPr>
      <w:color w:val="000000"/>
      <w:sz w:val="24"/>
      <w:szCs w:val="20"/>
    </w:rPr>
  </w:style>
  <w:style w:type="character" w:customStyle="1" w:styleId="FootnoteReference1">
    <w:name w:val="Footnote Reference1"/>
    <w:uiPriority w:val="99"/>
    <w:rsid w:val="003945D8"/>
    <w:rPr>
      <w:color w:val="000000"/>
      <w:sz w:val="22"/>
      <w:vertAlign w:val="superscript"/>
    </w:rPr>
  </w:style>
  <w:style w:type="paragraph" w:customStyle="1" w:styleId="FootnoteText1">
    <w:name w:val="Footnote Text1"/>
    <w:link w:val="FootnoteText1Char"/>
    <w:uiPriority w:val="99"/>
    <w:rsid w:val="003945D8"/>
    <w:rPr>
      <w:color w:val="000000"/>
      <w:sz w:val="20"/>
      <w:szCs w:val="20"/>
    </w:rPr>
  </w:style>
  <w:style w:type="paragraph" w:customStyle="1" w:styleId="FootnoteText11">
    <w:name w:val="Footnote Text11"/>
    <w:uiPriority w:val="99"/>
    <w:rsid w:val="003945D8"/>
    <w:rPr>
      <w:rFonts w:ascii="Helvetica" w:hAnsi="Helvetica"/>
      <w:color w:val="000000"/>
      <w:sz w:val="20"/>
      <w:szCs w:val="20"/>
    </w:rPr>
  </w:style>
  <w:style w:type="character" w:customStyle="1" w:styleId="FooterChar">
    <w:name w:val="Footer Char"/>
    <w:uiPriority w:val="99"/>
    <w:rsid w:val="003945D8"/>
    <w:rPr>
      <w:color w:val="000000"/>
      <w:sz w:val="24"/>
      <w:lang w:val="en-US"/>
    </w:rPr>
  </w:style>
  <w:style w:type="paragraph" w:customStyle="1" w:styleId="CommentText1">
    <w:name w:val="Comment Text1"/>
    <w:uiPriority w:val="99"/>
    <w:rsid w:val="003945D8"/>
    <w:rPr>
      <w:color w:val="000000"/>
      <w:sz w:val="20"/>
      <w:szCs w:val="20"/>
    </w:rPr>
  </w:style>
  <w:style w:type="character" w:customStyle="1" w:styleId="PageNumber1">
    <w:name w:val="Page Number1"/>
    <w:uiPriority w:val="99"/>
    <w:rsid w:val="003945D8"/>
    <w:rPr>
      <w:color w:val="000000"/>
      <w:sz w:val="22"/>
    </w:rPr>
  </w:style>
  <w:style w:type="paragraph" w:styleId="FootnoteText">
    <w:name w:val="footnote text"/>
    <w:basedOn w:val="Normal"/>
    <w:link w:val="FootnoteTextChar"/>
    <w:uiPriority w:val="99"/>
    <w:locked/>
    <w:rsid w:val="00A92938"/>
    <w:rPr>
      <w:sz w:val="20"/>
      <w:szCs w:val="20"/>
    </w:rPr>
  </w:style>
  <w:style w:type="character" w:customStyle="1" w:styleId="FootnoteTextChar">
    <w:name w:val="Footnote Text Char"/>
    <w:basedOn w:val="DefaultParagraphFont"/>
    <w:link w:val="FootnoteText"/>
    <w:uiPriority w:val="99"/>
    <w:locked/>
    <w:rsid w:val="00A92938"/>
    <w:rPr>
      <w:rFonts w:eastAsia="Times New Roman" w:cs="Times New Roman"/>
      <w:color w:val="000000"/>
    </w:rPr>
  </w:style>
  <w:style w:type="character" w:styleId="FootnoteReference">
    <w:name w:val="footnote reference"/>
    <w:basedOn w:val="DefaultParagraphFont"/>
    <w:uiPriority w:val="99"/>
    <w:locked/>
    <w:rsid w:val="00A92938"/>
    <w:rPr>
      <w:rFonts w:cs="Times New Roman"/>
      <w:vertAlign w:val="superscript"/>
    </w:rPr>
  </w:style>
  <w:style w:type="paragraph" w:styleId="CommentText">
    <w:name w:val="annotation text"/>
    <w:basedOn w:val="Normal"/>
    <w:link w:val="CommentTextChar"/>
    <w:uiPriority w:val="99"/>
    <w:locked/>
    <w:rsid w:val="003945D8"/>
    <w:rPr>
      <w:sz w:val="20"/>
      <w:szCs w:val="20"/>
    </w:rPr>
  </w:style>
  <w:style w:type="character" w:customStyle="1" w:styleId="CommentTextChar">
    <w:name w:val="Comment Text Char"/>
    <w:basedOn w:val="DefaultParagraphFont"/>
    <w:link w:val="CommentText"/>
    <w:uiPriority w:val="99"/>
    <w:locked/>
    <w:rsid w:val="003945D8"/>
    <w:rPr>
      <w:rFonts w:eastAsia="Times New Roman" w:cs="Times New Roman"/>
      <w:color w:val="000000"/>
    </w:rPr>
  </w:style>
  <w:style w:type="character" w:styleId="CommentReference">
    <w:name w:val="annotation reference"/>
    <w:basedOn w:val="DefaultParagraphFont"/>
    <w:uiPriority w:val="99"/>
    <w:locked/>
    <w:rsid w:val="003945D8"/>
    <w:rPr>
      <w:rFonts w:cs="Times New Roman"/>
      <w:sz w:val="16"/>
      <w:szCs w:val="16"/>
    </w:rPr>
  </w:style>
  <w:style w:type="paragraph" w:customStyle="1" w:styleId="H7">
    <w:name w:val="H7"/>
    <w:basedOn w:val="Normal"/>
    <w:autoRedefine/>
    <w:uiPriority w:val="99"/>
    <w:rsid w:val="003E71B1"/>
    <w:pPr>
      <w:keepNext/>
      <w:keepLines/>
      <w:widowControl w:val="0"/>
      <w:numPr>
        <w:ilvl w:val="3"/>
        <w:numId w:val="1"/>
      </w:numPr>
      <w:autoSpaceDE w:val="0"/>
      <w:autoSpaceDN w:val="0"/>
      <w:adjustRightInd w:val="0"/>
    </w:pPr>
    <w:rPr>
      <w:rFonts w:ascii="Arial" w:hAnsi="Arial"/>
      <w:color w:val="auto"/>
    </w:rPr>
  </w:style>
  <w:style w:type="paragraph" w:customStyle="1" w:styleId="DEFINITION">
    <w:name w:val="DEFINITION"/>
    <w:basedOn w:val="Normal"/>
    <w:next w:val="Normal"/>
    <w:link w:val="DEFINITIONCharChar"/>
    <w:autoRedefine/>
    <w:uiPriority w:val="99"/>
    <w:rsid w:val="003E71B1"/>
    <w:pPr>
      <w:widowControl w:val="0"/>
      <w:autoSpaceDE w:val="0"/>
      <w:autoSpaceDN w:val="0"/>
      <w:adjustRightInd w:val="0"/>
    </w:pPr>
    <w:rPr>
      <w:rFonts w:ascii="Arial" w:hAnsi="Arial"/>
      <w:b/>
      <w:i/>
      <w:color w:val="auto"/>
      <w:u w:val="single"/>
    </w:rPr>
  </w:style>
  <w:style w:type="character" w:customStyle="1" w:styleId="DEFINITIONCharChar">
    <w:name w:val="DEFINITION Char Char"/>
    <w:basedOn w:val="DefaultParagraphFont"/>
    <w:link w:val="DEFINITION"/>
    <w:uiPriority w:val="99"/>
    <w:locked/>
    <w:rsid w:val="003E71B1"/>
    <w:rPr>
      <w:rFonts w:ascii="Arial" w:hAnsi="Arial" w:cs="Times New Roman"/>
      <w:b/>
      <w:i/>
      <w:sz w:val="24"/>
      <w:szCs w:val="24"/>
      <w:u w:val="single"/>
      <w:lang w:val="en-US" w:eastAsia="en-US" w:bidi="ar-SA"/>
    </w:rPr>
  </w:style>
  <w:style w:type="paragraph" w:customStyle="1" w:styleId="H3">
    <w:name w:val="H3"/>
    <w:basedOn w:val="Normal"/>
    <w:next w:val="Normal"/>
    <w:link w:val="H3CharChar"/>
    <w:uiPriority w:val="99"/>
    <w:rsid w:val="003E71B1"/>
    <w:pPr>
      <w:widowControl w:val="0"/>
      <w:numPr>
        <w:numId w:val="1"/>
      </w:numPr>
      <w:autoSpaceDE w:val="0"/>
      <w:autoSpaceDN w:val="0"/>
      <w:adjustRightInd w:val="0"/>
      <w:outlineLvl w:val="2"/>
    </w:pPr>
    <w:rPr>
      <w:rFonts w:ascii="Arial" w:hAnsi="Arial"/>
      <w:color w:val="auto"/>
    </w:rPr>
  </w:style>
  <w:style w:type="character" w:customStyle="1" w:styleId="H3CharChar">
    <w:name w:val="H3 Char Char"/>
    <w:basedOn w:val="DefaultParagraphFont"/>
    <w:link w:val="H3"/>
    <w:uiPriority w:val="99"/>
    <w:locked/>
    <w:rsid w:val="003E71B1"/>
    <w:rPr>
      <w:rFonts w:ascii="Arial" w:hAnsi="Arial"/>
      <w:sz w:val="24"/>
      <w:szCs w:val="24"/>
    </w:rPr>
  </w:style>
  <w:style w:type="paragraph" w:customStyle="1" w:styleId="CharChar">
    <w:name w:val="Char Char"/>
    <w:basedOn w:val="Normal"/>
    <w:uiPriority w:val="99"/>
    <w:rsid w:val="003E71B1"/>
    <w:pPr>
      <w:widowControl w:val="0"/>
      <w:numPr>
        <w:ilvl w:val="2"/>
        <w:numId w:val="1"/>
      </w:numPr>
      <w:autoSpaceDE w:val="0"/>
      <w:autoSpaceDN w:val="0"/>
      <w:adjustRightInd w:val="0"/>
    </w:pPr>
    <w:rPr>
      <w:rFonts w:ascii="Arial" w:hAnsi="Arial"/>
      <w:color w:val="auto"/>
    </w:rPr>
  </w:style>
  <w:style w:type="character" w:customStyle="1" w:styleId="FootnoteText1Char">
    <w:name w:val="Footnote Text1 Char"/>
    <w:basedOn w:val="DefaultParagraphFont"/>
    <w:link w:val="FootnoteText1"/>
    <w:uiPriority w:val="99"/>
    <w:locked/>
    <w:rsid w:val="00BA30E8"/>
    <w:rPr>
      <w:rFonts w:cs="Times New Roman"/>
      <w:color w:val="000000"/>
      <w:lang w:val="en-US" w:eastAsia="en-US" w:bidi="ar-SA"/>
    </w:rPr>
  </w:style>
  <w:style w:type="paragraph" w:styleId="CommentSubject">
    <w:name w:val="annotation subject"/>
    <w:basedOn w:val="CommentText"/>
    <w:next w:val="CommentText"/>
    <w:link w:val="CommentSubjectChar"/>
    <w:uiPriority w:val="99"/>
    <w:semiHidden/>
    <w:locked/>
    <w:rsid w:val="00B539C0"/>
    <w:rPr>
      <w:b/>
      <w:bCs/>
    </w:rPr>
  </w:style>
  <w:style w:type="character" w:customStyle="1" w:styleId="CommentSubjectChar">
    <w:name w:val="Comment Subject Char"/>
    <w:basedOn w:val="CommentTextChar"/>
    <w:link w:val="CommentSubject"/>
    <w:uiPriority w:val="99"/>
    <w:semiHidden/>
    <w:locked/>
    <w:rsid w:val="007428CB"/>
    <w:rPr>
      <w:rFonts w:eastAsia="Times New Roman" w:cs="Times New Roman"/>
      <w:b/>
      <w:bCs/>
      <w:color w:val="000000"/>
      <w:sz w:val="20"/>
      <w:szCs w:val="20"/>
    </w:rPr>
  </w:style>
  <w:style w:type="paragraph" w:styleId="Footer">
    <w:name w:val="footer"/>
    <w:basedOn w:val="Normal"/>
    <w:link w:val="FooterChar1"/>
    <w:uiPriority w:val="99"/>
    <w:locked/>
    <w:rsid w:val="006A0D59"/>
    <w:pPr>
      <w:tabs>
        <w:tab w:val="center" w:pos="4320"/>
        <w:tab w:val="right" w:pos="8640"/>
      </w:tabs>
    </w:pPr>
  </w:style>
  <w:style w:type="character" w:customStyle="1" w:styleId="FooterChar1">
    <w:name w:val="Footer Char1"/>
    <w:basedOn w:val="DefaultParagraphFont"/>
    <w:link w:val="Footer"/>
    <w:uiPriority w:val="99"/>
    <w:semiHidden/>
    <w:locked/>
    <w:rsid w:val="000C0603"/>
    <w:rPr>
      <w:rFonts w:cs="Times New Roman"/>
      <w:color w:val="000000"/>
      <w:sz w:val="24"/>
      <w:szCs w:val="24"/>
    </w:rPr>
  </w:style>
  <w:style w:type="paragraph" w:customStyle="1" w:styleId="DILAHandbook1">
    <w:name w:val="DILA Handbook 1"/>
    <w:basedOn w:val="Normal"/>
    <w:uiPriority w:val="99"/>
    <w:rsid w:val="00CB6558"/>
    <w:pPr>
      <w:numPr>
        <w:numId w:val="2"/>
      </w:numPr>
      <w:spacing w:before="240" w:after="240"/>
    </w:pPr>
    <w:rPr>
      <w:b/>
      <w:color w:val="auto"/>
      <w:sz w:val="28"/>
      <w:szCs w:val="28"/>
    </w:rPr>
  </w:style>
  <w:style w:type="paragraph" w:customStyle="1" w:styleId="DILAHandbook2">
    <w:name w:val="DILA Handbook 2"/>
    <w:basedOn w:val="Normal"/>
    <w:uiPriority w:val="99"/>
    <w:rsid w:val="00CB6558"/>
    <w:pPr>
      <w:numPr>
        <w:ilvl w:val="1"/>
        <w:numId w:val="2"/>
      </w:numPr>
      <w:spacing w:after="120"/>
      <w:outlineLvl w:val="1"/>
    </w:pPr>
    <w:rPr>
      <w:color w:val="auto"/>
      <w:u w:val="single"/>
    </w:rPr>
  </w:style>
  <w:style w:type="paragraph" w:customStyle="1" w:styleId="DILAStyle3">
    <w:name w:val="DILA Style 3"/>
    <w:basedOn w:val="Normal"/>
    <w:uiPriority w:val="99"/>
    <w:rsid w:val="00CB6558"/>
    <w:pPr>
      <w:numPr>
        <w:ilvl w:val="2"/>
        <w:numId w:val="2"/>
      </w:numPr>
      <w:spacing w:after="120"/>
      <w:outlineLvl w:val="1"/>
    </w:pPr>
    <w:rPr>
      <w:color w:val="auto"/>
      <w:szCs w:val="20"/>
      <w:u w:val="single"/>
    </w:rPr>
  </w:style>
  <w:style w:type="paragraph" w:customStyle="1" w:styleId="DILAStyle4">
    <w:name w:val="DILA Style 4"/>
    <w:basedOn w:val="DILAStyle3"/>
    <w:uiPriority w:val="99"/>
    <w:rsid w:val="00CB6558"/>
    <w:pPr>
      <w:keepNext/>
      <w:numPr>
        <w:ilvl w:val="3"/>
      </w:numPr>
    </w:pPr>
  </w:style>
  <w:style w:type="paragraph" w:customStyle="1" w:styleId="DILAStyle5">
    <w:name w:val="DILA Style 5"/>
    <w:basedOn w:val="DILAStyle4"/>
    <w:uiPriority w:val="99"/>
    <w:rsid w:val="00CB6558"/>
    <w:pPr>
      <w:numPr>
        <w:ilvl w:val="4"/>
      </w:numPr>
    </w:pPr>
  </w:style>
  <w:style w:type="paragraph" w:styleId="ListParagraph">
    <w:name w:val="List Paragraph"/>
    <w:basedOn w:val="Normal"/>
    <w:uiPriority w:val="34"/>
    <w:qFormat/>
    <w:rsid w:val="0078387C"/>
    <w:pPr>
      <w:ind w:left="720"/>
      <w:contextualSpacing/>
    </w:pPr>
  </w:style>
  <w:style w:type="character" w:styleId="Hyperlink">
    <w:name w:val="Hyperlink"/>
    <w:basedOn w:val="DefaultParagraphFont"/>
    <w:locked/>
    <w:rsid w:val="006E6479"/>
    <w:rPr>
      <w:color w:val="0000FF"/>
      <w:u w:val="single"/>
    </w:rPr>
  </w:style>
  <w:style w:type="table" w:styleId="TableGrid">
    <w:name w:val="Table Grid"/>
    <w:basedOn w:val="TableNormal"/>
    <w:rsid w:val="00D1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basedOn w:val="DefaultParagraphFont"/>
    <w:rsid w:val="0001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7723">
      <w:marLeft w:val="30"/>
      <w:marRight w:val="30"/>
      <w:marTop w:val="30"/>
      <w:marBottom w:val="30"/>
      <w:divBdr>
        <w:top w:val="none" w:sz="0" w:space="0" w:color="auto"/>
        <w:left w:val="none" w:sz="0" w:space="0" w:color="auto"/>
        <w:bottom w:val="none" w:sz="0" w:space="0" w:color="auto"/>
        <w:right w:val="none" w:sz="0" w:space="0" w:color="auto"/>
      </w:divBdr>
      <w:divsChild>
        <w:div w:id="315887728">
          <w:marLeft w:val="0"/>
          <w:marRight w:val="0"/>
          <w:marTop w:val="0"/>
          <w:marBottom w:val="0"/>
          <w:divBdr>
            <w:top w:val="none" w:sz="0" w:space="0" w:color="auto"/>
            <w:left w:val="none" w:sz="0" w:space="0" w:color="auto"/>
            <w:bottom w:val="none" w:sz="0" w:space="0" w:color="auto"/>
            <w:right w:val="none" w:sz="0" w:space="0" w:color="auto"/>
          </w:divBdr>
          <w:divsChild>
            <w:div w:id="315887731">
              <w:marLeft w:val="45"/>
              <w:marRight w:val="45"/>
              <w:marTop w:val="45"/>
              <w:marBottom w:val="45"/>
              <w:divBdr>
                <w:top w:val="none" w:sz="0" w:space="0" w:color="auto"/>
                <w:left w:val="none" w:sz="0" w:space="0" w:color="auto"/>
                <w:bottom w:val="none" w:sz="0" w:space="0" w:color="auto"/>
                <w:right w:val="none" w:sz="0" w:space="0" w:color="auto"/>
              </w:divBdr>
              <w:divsChild>
                <w:div w:id="315887727">
                  <w:marLeft w:val="0"/>
                  <w:marRight w:val="0"/>
                  <w:marTop w:val="0"/>
                  <w:marBottom w:val="0"/>
                  <w:divBdr>
                    <w:top w:val="none" w:sz="0" w:space="0" w:color="auto"/>
                    <w:left w:val="none" w:sz="0" w:space="0" w:color="auto"/>
                    <w:bottom w:val="none" w:sz="0" w:space="0" w:color="auto"/>
                    <w:right w:val="none" w:sz="0" w:space="0" w:color="auto"/>
                  </w:divBdr>
                  <w:divsChild>
                    <w:div w:id="315887724">
                      <w:marLeft w:val="360"/>
                      <w:marRight w:val="0"/>
                      <w:marTop w:val="0"/>
                      <w:marBottom w:val="0"/>
                      <w:divBdr>
                        <w:top w:val="none" w:sz="0" w:space="0" w:color="auto"/>
                        <w:left w:val="none" w:sz="0" w:space="0" w:color="auto"/>
                        <w:bottom w:val="none" w:sz="0" w:space="0" w:color="auto"/>
                        <w:right w:val="none" w:sz="0" w:space="0" w:color="auto"/>
                      </w:divBdr>
                    </w:div>
                    <w:div w:id="315887725">
                      <w:marLeft w:val="360"/>
                      <w:marRight w:val="0"/>
                      <w:marTop w:val="0"/>
                      <w:marBottom w:val="0"/>
                      <w:divBdr>
                        <w:top w:val="none" w:sz="0" w:space="0" w:color="auto"/>
                        <w:left w:val="none" w:sz="0" w:space="0" w:color="auto"/>
                        <w:bottom w:val="none" w:sz="0" w:space="0" w:color="auto"/>
                        <w:right w:val="none" w:sz="0" w:space="0" w:color="auto"/>
                      </w:divBdr>
                    </w:div>
                    <w:div w:id="315887726">
                      <w:marLeft w:val="360"/>
                      <w:marRight w:val="0"/>
                      <w:marTop w:val="0"/>
                      <w:marBottom w:val="0"/>
                      <w:divBdr>
                        <w:top w:val="none" w:sz="0" w:space="0" w:color="auto"/>
                        <w:left w:val="none" w:sz="0" w:space="0" w:color="auto"/>
                        <w:bottom w:val="none" w:sz="0" w:space="0" w:color="auto"/>
                        <w:right w:val="none" w:sz="0" w:space="0" w:color="auto"/>
                      </w:divBdr>
                    </w:div>
                    <w:div w:id="315887729">
                      <w:marLeft w:val="180"/>
                      <w:marRight w:val="0"/>
                      <w:marTop w:val="0"/>
                      <w:marBottom w:val="0"/>
                      <w:divBdr>
                        <w:top w:val="none" w:sz="0" w:space="0" w:color="auto"/>
                        <w:left w:val="none" w:sz="0" w:space="0" w:color="auto"/>
                        <w:bottom w:val="none" w:sz="0" w:space="0" w:color="auto"/>
                        <w:right w:val="none" w:sz="0" w:space="0" w:color="auto"/>
                      </w:divBdr>
                    </w:div>
                    <w:div w:id="3158877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7087-89C2-4842-8679-70B72918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PURPOSE</vt:lpstr>
    </vt:vector>
  </TitlesOfParts>
  <Company>Department of Homeland Security</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judy.boyd</dc:creator>
  <cp:lastModifiedBy>Richards, Steven</cp:lastModifiedBy>
  <cp:revision>2</cp:revision>
  <cp:lastPrinted>2013-11-20T15:46:00Z</cp:lastPrinted>
  <dcterms:created xsi:type="dcterms:W3CDTF">2016-01-08T19:54:00Z</dcterms:created>
  <dcterms:modified xsi:type="dcterms:W3CDTF">2016-01-08T19:54:00Z</dcterms:modified>
</cp:coreProperties>
</file>