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24" w:rsidRDefault="00DB4F24" w:rsidP="002A00C3">
      <w:pPr>
        <w:rPr>
          <w:b/>
        </w:rPr>
      </w:pPr>
    </w:p>
    <w:p w:rsidR="00EC7594" w:rsidRPr="00AC2352" w:rsidRDefault="00EC7594" w:rsidP="002A00C3"/>
    <w:p w:rsidR="00623C2E" w:rsidRPr="00222AA1" w:rsidRDefault="00623C2E" w:rsidP="00623C2E">
      <w:pPr>
        <w:jc w:val="center"/>
      </w:pPr>
    </w:p>
    <w:p w:rsidR="00623C2E" w:rsidRDefault="00623C2E" w:rsidP="00623C2E">
      <w:pPr>
        <w:pStyle w:val="Title"/>
      </w:pPr>
      <w:r w:rsidRPr="00623C2E">
        <w:rPr>
          <w:color w:val="1F497D" w:themeColor="text2"/>
          <w:sz w:val="52"/>
          <w:szCs w:val="52"/>
        </w:rPr>
        <w:t>Department of Homeland Security</w:t>
      </w:r>
      <w:r w:rsidRPr="00623C2E">
        <w:rPr>
          <w:color w:val="1F497D" w:themeColor="text2"/>
        </w:rPr>
        <w:t xml:space="preserve"> </w:t>
      </w:r>
      <w:r>
        <w:rPr>
          <w:noProof/>
        </w:rPr>
        <w:drawing>
          <wp:inline distT="0" distB="0" distL="0" distR="0" wp14:anchorId="6C810270" wp14:editId="2C477900">
            <wp:extent cx="861656" cy="858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circle-seal_white_png.jpg"/>
                    <pic:cNvPicPr/>
                  </pic:nvPicPr>
                  <pic:blipFill>
                    <a:blip r:embed="rId21" cstate="print">
                      <a:extLst>
                        <a:ext uri="{28A0092B-C50C-407E-A947-70E740481C1C}">
                          <a14:useLocalDpi xmlns:a14="http://schemas.microsoft.com/office/drawing/2010/main"/>
                        </a:ext>
                      </a:extLst>
                    </a:blip>
                    <a:stretch>
                      <a:fillRect/>
                    </a:stretch>
                  </pic:blipFill>
                  <pic:spPr>
                    <a:xfrm>
                      <a:off x="0" y="0"/>
                      <a:ext cx="862247" cy="859112"/>
                    </a:xfrm>
                    <a:prstGeom prst="rect">
                      <a:avLst/>
                    </a:prstGeom>
                  </pic:spPr>
                </pic:pic>
              </a:graphicData>
            </a:graphic>
          </wp:inline>
        </w:drawing>
      </w:r>
    </w:p>
    <w:p w:rsidR="00623C2E" w:rsidRDefault="00623C2E" w:rsidP="00623C2E">
      <w:pPr>
        <w:pStyle w:val="Title"/>
      </w:pPr>
      <w:r>
        <w:rPr>
          <w:noProof/>
        </w:rPr>
        <mc:AlternateContent>
          <mc:Choice Requires="wps">
            <w:drawing>
              <wp:anchor distT="0" distB="0" distL="114300" distR="114300" simplePos="0" relativeHeight="251661312" behindDoc="0" locked="0" layoutInCell="1" allowOverlap="1" wp14:anchorId="4CF9C7A5" wp14:editId="256CEC32">
                <wp:simplePos x="0" y="0"/>
                <wp:positionH relativeFrom="column">
                  <wp:posOffset>187325</wp:posOffset>
                </wp:positionH>
                <wp:positionV relativeFrom="paragraph">
                  <wp:posOffset>142875</wp:posOffset>
                </wp:positionV>
                <wp:extent cx="57721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77215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8AD531"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75pt,11.25pt" to="469.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" strokecolor="#4579b8 [3044]" strokeweight="1.5pt"/>
            </w:pict>
          </mc:Fallback>
        </mc:AlternateContent>
      </w:r>
    </w:p>
    <w:p w:rsidR="00623C2E" w:rsidRDefault="00623C2E" w:rsidP="00623C2E">
      <w:pPr>
        <w:pStyle w:val="Title"/>
      </w:pPr>
    </w:p>
    <w:p w:rsidR="00623C2E" w:rsidRPr="00151F40" w:rsidRDefault="00623C2E" w:rsidP="00623C2E">
      <w:pPr>
        <w:pStyle w:val="Subtitle"/>
        <w:jc w:val="center"/>
        <w:rPr>
          <w:sz w:val="32"/>
        </w:rPr>
      </w:pPr>
      <w:r w:rsidRPr="00151F40">
        <w:rPr>
          <w:sz w:val="32"/>
        </w:rPr>
        <w:t xml:space="preserve">Response to Office of Management and Budget Memo </w:t>
      </w:r>
      <w:r>
        <w:rPr>
          <w:sz w:val="32"/>
        </w:rPr>
        <w:t>M-16-19</w:t>
      </w:r>
    </w:p>
    <w:p w:rsidR="00DB4F24" w:rsidRDefault="00DB4F24" w:rsidP="00623C2E">
      <w:pPr>
        <w:pStyle w:val="BodyText"/>
      </w:pPr>
    </w:p>
    <w:p w:rsidR="00BC1228" w:rsidRDefault="00BC1228" w:rsidP="002A00C3"/>
    <w:p w:rsidR="00623C2E" w:rsidRPr="00284213" w:rsidRDefault="00623C2E" w:rsidP="0047486B">
      <w:pPr>
        <w:spacing w:after="0"/>
        <w:jc w:val="center"/>
        <w:rPr>
          <w:sz w:val="60"/>
          <w:szCs w:val="60"/>
        </w:rPr>
      </w:pPr>
      <w:r w:rsidRPr="00284213">
        <w:rPr>
          <w:sz w:val="60"/>
          <w:szCs w:val="60"/>
        </w:rPr>
        <w:t>Implementing DCOI:</w:t>
      </w:r>
    </w:p>
    <w:p w:rsidR="0047486B" w:rsidRPr="00284213" w:rsidRDefault="00284213" w:rsidP="00623C2E">
      <w:pPr>
        <w:spacing w:after="0"/>
        <w:jc w:val="center"/>
        <w:rPr>
          <w:sz w:val="60"/>
          <w:szCs w:val="60"/>
        </w:rPr>
      </w:pPr>
      <w:r w:rsidRPr="00284213">
        <w:rPr>
          <w:sz w:val="60"/>
          <w:szCs w:val="60"/>
        </w:rPr>
        <w:t xml:space="preserve">DHS </w:t>
      </w:r>
      <w:r w:rsidR="00623C2E" w:rsidRPr="00284213">
        <w:rPr>
          <w:sz w:val="60"/>
          <w:szCs w:val="60"/>
        </w:rPr>
        <w:t>Enterprise Computing Services</w:t>
      </w:r>
    </w:p>
    <w:p w:rsidR="0047486B" w:rsidRPr="00284213" w:rsidRDefault="0047486B" w:rsidP="0047486B">
      <w:pPr>
        <w:spacing w:after="0"/>
        <w:jc w:val="center"/>
        <w:rPr>
          <w:sz w:val="60"/>
          <w:szCs w:val="60"/>
        </w:rPr>
      </w:pPr>
      <w:r w:rsidRPr="00284213">
        <w:rPr>
          <w:sz w:val="60"/>
          <w:szCs w:val="60"/>
        </w:rPr>
        <w:t xml:space="preserve">(DHS </w:t>
      </w:r>
      <w:r w:rsidR="00623C2E" w:rsidRPr="00284213">
        <w:rPr>
          <w:sz w:val="60"/>
          <w:szCs w:val="60"/>
        </w:rPr>
        <w:t>ECS</w:t>
      </w:r>
      <w:r w:rsidRPr="00284213">
        <w:rPr>
          <w:sz w:val="60"/>
          <w:szCs w:val="60"/>
        </w:rPr>
        <w:t>)</w:t>
      </w:r>
    </w:p>
    <w:p w:rsidR="00BC1228" w:rsidRPr="00284213" w:rsidRDefault="0047486B" w:rsidP="0047486B">
      <w:pPr>
        <w:spacing w:after="0"/>
        <w:jc w:val="center"/>
        <w:rPr>
          <w:sz w:val="60"/>
          <w:szCs w:val="60"/>
        </w:rPr>
      </w:pPr>
      <w:r w:rsidRPr="00284213">
        <w:rPr>
          <w:sz w:val="60"/>
          <w:szCs w:val="60"/>
        </w:rPr>
        <w:t>Strategic Plan</w:t>
      </w:r>
    </w:p>
    <w:p w:rsidR="000302EA" w:rsidRDefault="000302EA" w:rsidP="002A00C3"/>
    <w:p w:rsidR="0047486B" w:rsidRDefault="0047486B" w:rsidP="002A00C3"/>
    <w:p w:rsidR="00284213" w:rsidRDefault="00284213" w:rsidP="002A00C3"/>
    <w:p w:rsidR="0047486B" w:rsidRPr="009030F9" w:rsidRDefault="0047486B" w:rsidP="009030F9">
      <w:pPr>
        <w:spacing w:after="0"/>
        <w:jc w:val="center"/>
        <w:rPr>
          <w:sz w:val="28"/>
          <w:szCs w:val="28"/>
        </w:rPr>
      </w:pPr>
      <w:r w:rsidRPr="009030F9">
        <w:rPr>
          <w:sz w:val="28"/>
          <w:szCs w:val="28"/>
        </w:rPr>
        <w:t>Office of the Chief Information Officer</w:t>
      </w:r>
    </w:p>
    <w:p w:rsidR="0047486B" w:rsidRPr="009030F9" w:rsidRDefault="0047486B" w:rsidP="009030F9">
      <w:pPr>
        <w:spacing w:after="0"/>
        <w:jc w:val="center"/>
        <w:rPr>
          <w:sz w:val="28"/>
          <w:szCs w:val="28"/>
        </w:rPr>
      </w:pPr>
      <w:r w:rsidRPr="009030F9">
        <w:rPr>
          <w:sz w:val="28"/>
          <w:szCs w:val="28"/>
        </w:rPr>
        <w:t>Department of Homeland Security</w:t>
      </w:r>
    </w:p>
    <w:p w:rsidR="0047486B" w:rsidRDefault="0047486B" w:rsidP="0047486B">
      <w:pPr>
        <w:jc w:val="center"/>
      </w:pPr>
    </w:p>
    <w:p w:rsidR="00284213" w:rsidRDefault="00284213" w:rsidP="0047486B">
      <w:pPr>
        <w:jc w:val="center"/>
      </w:pPr>
    </w:p>
    <w:p w:rsidR="009030F9" w:rsidRDefault="009030F9" w:rsidP="0047486B">
      <w:pPr>
        <w:jc w:val="center"/>
      </w:pPr>
    </w:p>
    <w:p w:rsidR="0047486B" w:rsidRPr="009030F9" w:rsidRDefault="00F67C38" w:rsidP="0047486B">
      <w:pPr>
        <w:jc w:val="center"/>
        <w:rPr>
          <w:sz w:val="28"/>
          <w:szCs w:val="28"/>
        </w:rPr>
      </w:pPr>
      <w:r>
        <w:rPr>
          <w:sz w:val="28"/>
          <w:szCs w:val="28"/>
        </w:rPr>
        <w:t>February 28</w:t>
      </w:r>
      <w:r w:rsidR="00C63078">
        <w:rPr>
          <w:sz w:val="28"/>
          <w:szCs w:val="28"/>
        </w:rPr>
        <w:t>, 2017</w:t>
      </w:r>
    </w:p>
    <w:p w:rsidR="000302EA" w:rsidRDefault="000302EA" w:rsidP="002A00C3"/>
    <w:p w:rsidR="000302EA" w:rsidRDefault="000302EA" w:rsidP="002A00C3">
      <w:pPr>
        <w:sectPr w:rsidR="000302EA" w:rsidSect="00647FE4">
          <w:headerReference w:type="default" r:id="rId22"/>
          <w:footerReference w:type="default" r:id="rId23"/>
          <w:type w:val="continuous"/>
          <w:pgSz w:w="12240" w:h="15840"/>
          <w:pgMar w:top="1420" w:right="1280" w:bottom="980" w:left="1280" w:header="0" w:footer="793" w:gutter="0"/>
          <w:cols w:space="720"/>
        </w:sectPr>
      </w:pPr>
    </w:p>
    <w:sdt>
      <w:sdtPr>
        <w:rPr>
          <w:rFonts w:ascii="Times New Roman" w:eastAsia="Times New Roman" w:hAnsi="Times New Roman" w:cs="Times New Roman"/>
          <w:color w:val="auto"/>
          <w:sz w:val="24"/>
          <w:szCs w:val="20"/>
        </w:rPr>
        <w:id w:val="1700203873"/>
        <w:docPartObj>
          <w:docPartGallery w:val="Table of Contents"/>
          <w:docPartUnique/>
        </w:docPartObj>
      </w:sdtPr>
      <w:sdtEndPr>
        <w:rPr>
          <w:b/>
          <w:bCs/>
          <w:noProof/>
        </w:rPr>
      </w:sdtEndPr>
      <w:sdtContent>
        <w:p w:rsidR="005A1AFD" w:rsidRDefault="005A1AFD">
          <w:pPr>
            <w:pStyle w:val="TOCHeading"/>
          </w:pPr>
          <w:r>
            <w:t>Contents</w:t>
          </w:r>
        </w:p>
        <w:p w:rsidR="00AC570C" w:rsidRDefault="005A1AFD">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75636825" w:history="1">
            <w:r w:rsidR="00AC570C" w:rsidRPr="00E04ABD">
              <w:rPr>
                <w:rStyle w:val="Hyperlink"/>
                <w:noProof/>
              </w:rPr>
              <w:t>1.</w:t>
            </w:r>
            <w:r w:rsidR="00AC570C" w:rsidRPr="00E04ABD">
              <w:rPr>
                <w:rFonts w:asciiTheme="minorHAnsi" w:eastAsiaTheme="minorEastAsia" w:hAnsiTheme="minorHAnsi" w:cstheme="minorBidi"/>
                <w:b w:val="0"/>
                <w:caps w:val="0"/>
                <w:noProof/>
                <w:sz w:val="22"/>
                <w:szCs w:val="22"/>
              </w:rPr>
              <w:tab/>
            </w:r>
            <w:r w:rsidR="00AC570C" w:rsidRPr="00E04ABD">
              <w:rPr>
                <w:rStyle w:val="Hyperlink"/>
                <w:noProof/>
              </w:rPr>
              <w:t>Message from the Chief Information Officer</w:t>
            </w:r>
            <w:r w:rsidR="00AC570C">
              <w:rPr>
                <w:noProof/>
                <w:webHidden/>
              </w:rPr>
              <w:tab/>
            </w:r>
            <w:r w:rsidR="00AC570C">
              <w:rPr>
                <w:noProof/>
                <w:webHidden/>
              </w:rPr>
              <w:fldChar w:fldCharType="begin"/>
            </w:r>
            <w:r w:rsidR="00AC570C">
              <w:rPr>
                <w:noProof/>
                <w:webHidden/>
              </w:rPr>
              <w:instrText xml:space="preserve"> PAGEREF _Toc475636825 \h </w:instrText>
            </w:r>
            <w:r w:rsidR="00AC570C">
              <w:rPr>
                <w:noProof/>
                <w:webHidden/>
              </w:rPr>
            </w:r>
            <w:r w:rsidR="00AC570C">
              <w:rPr>
                <w:noProof/>
                <w:webHidden/>
              </w:rPr>
              <w:fldChar w:fldCharType="separate"/>
            </w:r>
            <w:r w:rsidR="00AC570C">
              <w:rPr>
                <w:noProof/>
                <w:webHidden/>
              </w:rPr>
              <w:t>3</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26" w:history="1">
            <w:r w:rsidR="00AC570C" w:rsidRPr="00433051">
              <w:rPr>
                <w:rStyle w:val="Hyperlink"/>
                <w:noProof/>
              </w:rPr>
              <w:t>2.</w:t>
            </w:r>
            <w:r w:rsidR="00AC570C">
              <w:rPr>
                <w:rFonts w:asciiTheme="minorHAnsi" w:eastAsiaTheme="minorEastAsia" w:hAnsiTheme="minorHAnsi" w:cstheme="minorBidi"/>
                <w:b w:val="0"/>
                <w:caps w:val="0"/>
                <w:noProof/>
                <w:sz w:val="22"/>
                <w:szCs w:val="22"/>
              </w:rPr>
              <w:tab/>
            </w:r>
            <w:r w:rsidR="00AC570C" w:rsidRPr="00433051">
              <w:rPr>
                <w:rStyle w:val="Hyperlink"/>
                <w:noProof/>
              </w:rPr>
              <w:t>Executive Summary</w:t>
            </w:r>
            <w:r w:rsidR="00AC570C">
              <w:rPr>
                <w:noProof/>
                <w:webHidden/>
              </w:rPr>
              <w:tab/>
            </w:r>
            <w:r w:rsidR="00AC570C">
              <w:rPr>
                <w:noProof/>
                <w:webHidden/>
              </w:rPr>
              <w:fldChar w:fldCharType="begin"/>
            </w:r>
            <w:r w:rsidR="00AC570C">
              <w:rPr>
                <w:noProof/>
                <w:webHidden/>
              </w:rPr>
              <w:instrText xml:space="preserve"> PAGEREF _Toc475636826 \h </w:instrText>
            </w:r>
            <w:r w:rsidR="00AC570C">
              <w:rPr>
                <w:noProof/>
                <w:webHidden/>
              </w:rPr>
            </w:r>
            <w:r w:rsidR="00AC570C">
              <w:rPr>
                <w:noProof/>
                <w:webHidden/>
              </w:rPr>
              <w:fldChar w:fldCharType="separate"/>
            </w:r>
            <w:r w:rsidR="00AC570C">
              <w:rPr>
                <w:noProof/>
                <w:webHidden/>
              </w:rPr>
              <w:t>5</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27" w:history="1">
            <w:r w:rsidR="00AC570C" w:rsidRPr="00433051">
              <w:rPr>
                <w:rStyle w:val="Hyperlink"/>
                <w:noProof/>
              </w:rPr>
              <w:t>3.</w:t>
            </w:r>
            <w:r w:rsidR="00AC570C">
              <w:rPr>
                <w:rFonts w:asciiTheme="minorHAnsi" w:eastAsiaTheme="minorEastAsia" w:hAnsiTheme="minorHAnsi" w:cstheme="minorBidi"/>
                <w:b w:val="0"/>
                <w:caps w:val="0"/>
                <w:noProof/>
                <w:sz w:val="22"/>
                <w:szCs w:val="22"/>
              </w:rPr>
              <w:tab/>
            </w:r>
            <w:r w:rsidR="00AC570C" w:rsidRPr="00433051">
              <w:rPr>
                <w:rStyle w:val="Hyperlink"/>
                <w:noProof/>
              </w:rPr>
              <w:t xml:space="preserve">Introduction </w:t>
            </w:r>
            <w:r w:rsidR="00AC570C">
              <w:rPr>
                <w:noProof/>
                <w:webHidden/>
              </w:rPr>
              <w:tab/>
            </w:r>
            <w:r w:rsidR="00AC570C">
              <w:rPr>
                <w:noProof/>
                <w:webHidden/>
              </w:rPr>
              <w:fldChar w:fldCharType="begin"/>
            </w:r>
            <w:r w:rsidR="00AC570C">
              <w:rPr>
                <w:noProof/>
                <w:webHidden/>
              </w:rPr>
              <w:instrText xml:space="preserve"> PAGEREF _Toc475636827 \h </w:instrText>
            </w:r>
            <w:r w:rsidR="00AC570C">
              <w:rPr>
                <w:noProof/>
                <w:webHidden/>
              </w:rPr>
            </w:r>
            <w:r w:rsidR="00AC570C">
              <w:rPr>
                <w:noProof/>
                <w:webHidden/>
              </w:rPr>
              <w:fldChar w:fldCharType="separate"/>
            </w:r>
            <w:r w:rsidR="00AC570C">
              <w:rPr>
                <w:noProof/>
                <w:webHidden/>
              </w:rPr>
              <w:t>5</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28" w:history="1">
            <w:r w:rsidR="00AC570C" w:rsidRPr="00433051">
              <w:rPr>
                <w:rStyle w:val="Hyperlink"/>
                <w:noProof/>
              </w:rPr>
              <w:t>3.1</w:t>
            </w:r>
            <w:r w:rsidR="00AC570C">
              <w:rPr>
                <w:rFonts w:asciiTheme="minorHAnsi" w:eastAsiaTheme="minorEastAsia" w:hAnsiTheme="minorHAnsi" w:cstheme="minorBidi"/>
                <w:smallCaps w:val="0"/>
                <w:noProof/>
                <w:sz w:val="22"/>
                <w:szCs w:val="22"/>
              </w:rPr>
              <w:tab/>
            </w:r>
            <w:r w:rsidR="00AC570C" w:rsidRPr="00433051">
              <w:rPr>
                <w:rStyle w:val="Hyperlink"/>
                <w:noProof/>
              </w:rPr>
              <w:t>Background</w:t>
            </w:r>
            <w:r w:rsidR="00AC570C">
              <w:rPr>
                <w:noProof/>
                <w:webHidden/>
              </w:rPr>
              <w:tab/>
            </w:r>
            <w:r w:rsidR="00AC570C">
              <w:rPr>
                <w:noProof/>
                <w:webHidden/>
              </w:rPr>
              <w:fldChar w:fldCharType="begin"/>
            </w:r>
            <w:r w:rsidR="00AC570C">
              <w:rPr>
                <w:noProof/>
                <w:webHidden/>
              </w:rPr>
              <w:instrText xml:space="preserve"> PAGEREF _Toc475636828 \h </w:instrText>
            </w:r>
            <w:r w:rsidR="00AC570C">
              <w:rPr>
                <w:noProof/>
                <w:webHidden/>
              </w:rPr>
            </w:r>
            <w:r w:rsidR="00AC570C">
              <w:rPr>
                <w:noProof/>
                <w:webHidden/>
              </w:rPr>
              <w:fldChar w:fldCharType="separate"/>
            </w:r>
            <w:r w:rsidR="00AC570C">
              <w:rPr>
                <w:noProof/>
                <w:webHidden/>
              </w:rPr>
              <w:t>6</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29" w:history="1">
            <w:r w:rsidR="00AC570C" w:rsidRPr="00433051">
              <w:rPr>
                <w:rStyle w:val="Hyperlink"/>
                <w:noProof/>
              </w:rPr>
              <w:t>3.2</w:t>
            </w:r>
            <w:r w:rsidR="00AC570C">
              <w:rPr>
                <w:rFonts w:asciiTheme="minorHAnsi" w:eastAsiaTheme="minorEastAsia" w:hAnsiTheme="minorHAnsi" w:cstheme="minorBidi"/>
                <w:smallCaps w:val="0"/>
                <w:noProof/>
                <w:sz w:val="22"/>
                <w:szCs w:val="22"/>
              </w:rPr>
              <w:tab/>
            </w:r>
            <w:r w:rsidR="00AC570C" w:rsidRPr="00433051">
              <w:rPr>
                <w:rStyle w:val="Hyperlink"/>
                <w:noProof/>
              </w:rPr>
              <w:t>Alignment to Business Goals</w:t>
            </w:r>
            <w:r w:rsidR="00AC570C">
              <w:rPr>
                <w:noProof/>
                <w:webHidden/>
              </w:rPr>
              <w:tab/>
            </w:r>
            <w:r w:rsidR="00AC570C">
              <w:rPr>
                <w:noProof/>
                <w:webHidden/>
              </w:rPr>
              <w:fldChar w:fldCharType="begin"/>
            </w:r>
            <w:r w:rsidR="00AC570C">
              <w:rPr>
                <w:noProof/>
                <w:webHidden/>
              </w:rPr>
              <w:instrText xml:space="preserve"> PAGEREF _Toc475636829 \h </w:instrText>
            </w:r>
            <w:r w:rsidR="00AC570C">
              <w:rPr>
                <w:noProof/>
                <w:webHidden/>
              </w:rPr>
            </w:r>
            <w:r w:rsidR="00AC570C">
              <w:rPr>
                <w:noProof/>
                <w:webHidden/>
              </w:rPr>
              <w:fldChar w:fldCharType="separate"/>
            </w:r>
            <w:r w:rsidR="00AC570C">
              <w:rPr>
                <w:noProof/>
                <w:webHidden/>
              </w:rPr>
              <w:t>7</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30" w:history="1">
            <w:r w:rsidR="00AC570C" w:rsidRPr="00433051">
              <w:rPr>
                <w:rStyle w:val="Hyperlink"/>
                <w:noProof/>
              </w:rPr>
              <w:t>3.3</w:t>
            </w:r>
            <w:r w:rsidR="00AC570C">
              <w:rPr>
                <w:rFonts w:asciiTheme="minorHAnsi" w:eastAsiaTheme="minorEastAsia" w:hAnsiTheme="minorHAnsi" w:cstheme="minorBidi"/>
                <w:smallCaps w:val="0"/>
                <w:noProof/>
                <w:sz w:val="22"/>
                <w:szCs w:val="22"/>
              </w:rPr>
              <w:tab/>
            </w:r>
            <w:r w:rsidR="00AC570C" w:rsidRPr="00433051">
              <w:rPr>
                <w:rStyle w:val="Hyperlink"/>
                <w:noProof/>
              </w:rPr>
              <w:t>Data Center Ecosystem</w:t>
            </w:r>
            <w:r w:rsidR="00AC570C">
              <w:rPr>
                <w:noProof/>
                <w:webHidden/>
              </w:rPr>
              <w:tab/>
            </w:r>
            <w:r w:rsidR="00AC570C">
              <w:rPr>
                <w:noProof/>
                <w:webHidden/>
              </w:rPr>
              <w:fldChar w:fldCharType="begin"/>
            </w:r>
            <w:r w:rsidR="00AC570C">
              <w:rPr>
                <w:noProof/>
                <w:webHidden/>
              </w:rPr>
              <w:instrText xml:space="preserve"> PAGEREF _Toc475636830 \h </w:instrText>
            </w:r>
            <w:r w:rsidR="00AC570C">
              <w:rPr>
                <w:noProof/>
                <w:webHidden/>
              </w:rPr>
            </w:r>
            <w:r w:rsidR="00AC570C">
              <w:rPr>
                <w:noProof/>
                <w:webHidden/>
              </w:rPr>
              <w:fldChar w:fldCharType="separate"/>
            </w:r>
            <w:r w:rsidR="00AC570C">
              <w:rPr>
                <w:noProof/>
                <w:webHidden/>
              </w:rPr>
              <w:t>7</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31" w:history="1">
            <w:r w:rsidR="00AC570C" w:rsidRPr="00433051">
              <w:rPr>
                <w:rStyle w:val="Hyperlink"/>
                <w:noProof/>
              </w:rPr>
              <w:t>4.</w:t>
            </w:r>
            <w:r w:rsidR="00AC570C">
              <w:rPr>
                <w:rFonts w:asciiTheme="minorHAnsi" w:eastAsiaTheme="minorEastAsia" w:hAnsiTheme="minorHAnsi" w:cstheme="minorBidi"/>
                <w:b w:val="0"/>
                <w:caps w:val="0"/>
                <w:noProof/>
                <w:sz w:val="22"/>
                <w:szCs w:val="22"/>
              </w:rPr>
              <w:tab/>
            </w:r>
            <w:r w:rsidR="00AC570C" w:rsidRPr="00433051">
              <w:rPr>
                <w:rStyle w:val="Hyperlink"/>
                <w:noProof/>
              </w:rPr>
              <w:t>Mandates</w:t>
            </w:r>
            <w:r w:rsidR="00AC570C">
              <w:rPr>
                <w:noProof/>
                <w:webHidden/>
              </w:rPr>
              <w:tab/>
            </w:r>
            <w:r w:rsidR="00AC570C">
              <w:rPr>
                <w:noProof/>
                <w:webHidden/>
              </w:rPr>
              <w:fldChar w:fldCharType="begin"/>
            </w:r>
            <w:r w:rsidR="00AC570C">
              <w:rPr>
                <w:noProof/>
                <w:webHidden/>
              </w:rPr>
              <w:instrText xml:space="preserve"> PAGEREF _Toc475636831 \h </w:instrText>
            </w:r>
            <w:r w:rsidR="00AC570C">
              <w:rPr>
                <w:noProof/>
                <w:webHidden/>
              </w:rPr>
            </w:r>
            <w:r w:rsidR="00AC570C">
              <w:rPr>
                <w:noProof/>
                <w:webHidden/>
              </w:rPr>
              <w:fldChar w:fldCharType="separate"/>
            </w:r>
            <w:r w:rsidR="00AC570C">
              <w:rPr>
                <w:noProof/>
                <w:webHidden/>
              </w:rPr>
              <w:t>9</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32" w:history="1">
            <w:r w:rsidR="00AC570C" w:rsidRPr="00433051">
              <w:rPr>
                <w:rStyle w:val="Hyperlink"/>
                <w:noProof/>
              </w:rPr>
              <w:t>5.</w:t>
            </w:r>
            <w:r w:rsidR="00AC570C">
              <w:rPr>
                <w:rFonts w:asciiTheme="minorHAnsi" w:eastAsiaTheme="minorEastAsia" w:hAnsiTheme="minorHAnsi" w:cstheme="minorBidi"/>
                <w:b w:val="0"/>
                <w:caps w:val="0"/>
                <w:noProof/>
                <w:sz w:val="22"/>
                <w:szCs w:val="22"/>
              </w:rPr>
              <w:tab/>
            </w:r>
            <w:r w:rsidR="00AC570C" w:rsidRPr="00433051">
              <w:rPr>
                <w:rStyle w:val="Hyperlink"/>
                <w:noProof/>
              </w:rPr>
              <w:t>Guiding Principles</w:t>
            </w:r>
            <w:r w:rsidR="00AC570C">
              <w:rPr>
                <w:noProof/>
                <w:webHidden/>
              </w:rPr>
              <w:tab/>
            </w:r>
            <w:r w:rsidR="00AC570C">
              <w:rPr>
                <w:noProof/>
                <w:webHidden/>
              </w:rPr>
              <w:fldChar w:fldCharType="begin"/>
            </w:r>
            <w:r w:rsidR="00AC570C">
              <w:rPr>
                <w:noProof/>
                <w:webHidden/>
              </w:rPr>
              <w:instrText xml:space="preserve"> PAGEREF _Toc475636832 \h </w:instrText>
            </w:r>
            <w:r w:rsidR="00AC570C">
              <w:rPr>
                <w:noProof/>
                <w:webHidden/>
              </w:rPr>
            </w:r>
            <w:r w:rsidR="00AC570C">
              <w:rPr>
                <w:noProof/>
                <w:webHidden/>
              </w:rPr>
              <w:fldChar w:fldCharType="separate"/>
            </w:r>
            <w:r w:rsidR="00AC570C">
              <w:rPr>
                <w:noProof/>
                <w:webHidden/>
              </w:rPr>
              <w:t>10</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33" w:history="1">
            <w:r w:rsidR="00AC570C" w:rsidRPr="00433051">
              <w:rPr>
                <w:rStyle w:val="Hyperlink"/>
                <w:noProof/>
              </w:rPr>
              <w:t>6.</w:t>
            </w:r>
            <w:r w:rsidR="00AC570C">
              <w:rPr>
                <w:rFonts w:asciiTheme="minorHAnsi" w:eastAsiaTheme="minorEastAsia" w:hAnsiTheme="minorHAnsi" w:cstheme="minorBidi"/>
                <w:b w:val="0"/>
                <w:caps w:val="0"/>
                <w:noProof/>
                <w:sz w:val="22"/>
                <w:szCs w:val="22"/>
              </w:rPr>
              <w:tab/>
            </w:r>
            <w:r w:rsidR="00AC570C" w:rsidRPr="00433051">
              <w:rPr>
                <w:rStyle w:val="Hyperlink"/>
                <w:noProof/>
              </w:rPr>
              <w:t>Strategic Approach</w:t>
            </w:r>
            <w:r w:rsidR="00AC570C">
              <w:rPr>
                <w:noProof/>
                <w:webHidden/>
              </w:rPr>
              <w:tab/>
            </w:r>
            <w:r w:rsidR="00AC570C">
              <w:rPr>
                <w:noProof/>
                <w:webHidden/>
              </w:rPr>
              <w:fldChar w:fldCharType="begin"/>
            </w:r>
            <w:r w:rsidR="00AC570C">
              <w:rPr>
                <w:noProof/>
                <w:webHidden/>
              </w:rPr>
              <w:instrText xml:space="preserve"> PAGEREF _Toc475636833 \h </w:instrText>
            </w:r>
            <w:r w:rsidR="00AC570C">
              <w:rPr>
                <w:noProof/>
                <w:webHidden/>
              </w:rPr>
            </w:r>
            <w:r w:rsidR="00AC570C">
              <w:rPr>
                <w:noProof/>
                <w:webHidden/>
              </w:rPr>
              <w:fldChar w:fldCharType="separate"/>
            </w:r>
            <w:r w:rsidR="00AC570C">
              <w:rPr>
                <w:noProof/>
                <w:webHidden/>
              </w:rPr>
              <w:t>11</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34" w:history="1">
            <w:r w:rsidR="00AC570C" w:rsidRPr="00433051">
              <w:rPr>
                <w:rStyle w:val="Hyperlink"/>
                <w:noProof/>
              </w:rPr>
              <w:t>6.1</w:t>
            </w:r>
            <w:r w:rsidR="00AC570C">
              <w:rPr>
                <w:rFonts w:asciiTheme="minorHAnsi" w:eastAsiaTheme="minorEastAsia" w:hAnsiTheme="minorHAnsi" w:cstheme="minorBidi"/>
                <w:smallCaps w:val="0"/>
                <w:noProof/>
                <w:sz w:val="22"/>
                <w:szCs w:val="22"/>
              </w:rPr>
              <w:tab/>
            </w:r>
            <w:r w:rsidR="00AC570C" w:rsidRPr="00433051">
              <w:rPr>
                <w:rStyle w:val="Hyperlink"/>
                <w:noProof/>
              </w:rPr>
              <w:t>Service Governance and Management</w:t>
            </w:r>
            <w:r w:rsidR="00AC570C">
              <w:rPr>
                <w:noProof/>
                <w:webHidden/>
              </w:rPr>
              <w:tab/>
            </w:r>
            <w:r w:rsidR="00AC570C">
              <w:rPr>
                <w:noProof/>
                <w:webHidden/>
              </w:rPr>
              <w:fldChar w:fldCharType="begin"/>
            </w:r>
            <w:r w:rsidR="00AC570C">
              <w:rPr>
                <w:noProof/>
                <w:webHidden/>
              </w:rPr>
              <w:instrText xml:space="preserve"> PAGEREF _Toc475636834 \h </w:instrText>
            </w:r>
            <w:r w:rsidR="00AC570C">
              <w:rPr>
                <w:noProof/>
                <w:webHidden/>
              </w:rPr>
            </w:r>
            <w:r w:rsidR="00AC570C">
              <w:rPr>
                <w:noProof/>
                <w:webHidden/>
              </w:rPr>
              <w:fldChar w:fldCharType="separate"/>
            </w:r>
            <w:r w:rsidR="00AC570C">
              <w:rPr>
                <w:noProof/>
                <w:webHidden/>
              </w:rPr>
              <w:t>14</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35" w:history="1">
            <w:r w:rsidR="00AC570C" w:rsidRPr="00433051">
              <w:rPr>
                <w:rStyle w:val="Hyperlink"/>
                <w:noProof/>
              </w:rPr>
              <w:t>6.2</w:t>
            </w:r>
            <w:r w:rsidR="00AC570C">
              <w:rPr>
                <w:rFonts w:asciiTheme="minorHAnsi" w:eastAsiaTheme="minorEastAsia" w:hAnsiTheme="minorHAnsi" w:cstheme="minorBidi"/>
                <w:smallCaps w:val="0"/>
                <w:noProof/>
                <w:sz w:val="22"/>
                <w:szCs w:val="22"/>
              </w:rPr>
              <w:tab/>
            </w:r>
            <w:r w:rsidR="00AC570C" w:rsidRPr="00433051">
              <w:rPr>
                <w:rStyle w:val="Hyperlink"/>
                <w:noProof/>
              </w:rPr>
              <w:t>Reform IT Financial, Acquisition, &amp; Contracting Policy &amp; Practices</w:t>
            </w:r>
            <w:r w:rsidR="00AC570C">
              <w:rPr>
                <w:noProof/>
                <w:webHidden/>
              </w:rPr>
              <w:tab/>
            </w:r>
            <w:r w:rsidR="00AC570C">
              <w:rPr>
                <w:noProof/>
                <w:webHidden/>
              </w:rPr>
              <w:fldChar w:fldCharType="begin"/>
            </w:r>
            <w:r w:rsidR="00AC570C">
              <w:rPr>
                <w:noProof/>
                <w:webHidden/>
              </w:rPr>
              <w:instrText xml:space="preserve"> PAGEREF _Toc475636835 \h </w:instrText>
            </w:r>
            <w:r w:rsidR="00AC570C">
              <w:rPr>
                <w:noProof/>
                <w:webHidden/>
              </w:rPr>
            </w:r>
            <w:r w:rsidR="00AC570C">
              <w:rPr>
                <w:noProof/>
                <w:webHidden/>
              </w:rPr>
              <w:fldChar w:fldCharType="separate"/>
            </w:r>
            <w:r w:rsidR="00AC570C">
              <w:rPr>
                <w:noProof/>
                <w:webHidden/>
              </w:rPr>
              <w:t>23</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36" w:history="1">
            <w:r w:rsidR="00AC570C" w:rsidRPr="00433051">
              <w:rPr>
                <w:rStyle w:val="Hyperlink"/>
                <w:noProof/>
              </w:rPr>
              <w:t>6.3</w:t>
            </w:r>
            <w:r w:rsidR="00AC570C">
              <w:rPr>
                <w:rFonts w:asciiTheme="minorHAnsi" w:eastAsiaTheme="minorEastAsia" w:hAnsiTheme="minorHAnsi" w:cstheme="minorBidi"/>
                <w:smallCaps w:val="0"/>
                <w:noProof/>
                <w:sz w:val="22"/>
                <w:szCs w:val="22"/>
              </w:rPr>
              <w:tab/>
            </w:r>
            <w:r w:rsidR="00AC570C" w:rsidRPr="00433051">
              <w:rPr>
                <w:rStyle w:val="Hyperlink"/>
                <w:noProof/>
              </w:rPr>
              <w:t>Implement a DHS ECS Outreach and Awareness Campaign</w:t>
            </w:r>
            <w:r w:rsidR="00AC570C">
              <w:rPr>
                <w:noProof/>
                <w:webHidden/>
              </w:rPr>
              <w:tab/>
            </w:r>
            <w:r w:rsidR="00AC570C">
              <w:rPr>
                <w:noProof/>
                <w:webHidden/>
              </w:rPr>
              <w:fldChar w:fldCharType="begin"/>
            </w:r>
            <w:r w:rsidR="00AC570C">
              <w:rPr>
                <w:noProof/>
                <w:webHidden/>
              </w:rPr>
              <w:instrText xml:space="preserve"> PAGEREF _Toc475636836 \h </w:instrText>
            </w:r>
            <w:r w:rsidR="00AC570C">
              <w:rPr>
                <w:noProof/>
                <w:webHidden/>
              </w:rPr>
            </w:r>
            <w:r w:rsidR="00AC570C">
              <w:rPr>
                <w:noProof/>
                <w:webHidden/>
              </w:rPr>
              <w:fldChar w:fldCharType="separate"/>
            </w:r>
            <w:r w:rsidR="00AC570C">
              <w:rPr>
                <w:noProof/>
                <w:webHidden/>
              </w:rPr>
              <w:t>24</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37" w:history="1">
            <w:r w:rsidR="00AC570C" w:rsidRPr="00433051">
              <w:rPr>
                <w:rStyle w:val="Hyperlink"/>
                <w:noProof/>
              </w:rPr>
              <w:t>6.4</w:t>
            </w:r>
            <w:r w:rsidR="00AC570C">
              <w:rPr>
                <w:rFonts w:asciiTheme="minorHAnsi" w:eastAsiaTheme="minorEastAsia" w:hAnsiTheme="minorHAnsi" w:cstheme="minorBidi"/>
                <w:smallCaps w:val="0"/>
                <w:noProof/>
                <w:sz w:val="22"/>
                <w:szCs w:val="22"/>
              </w:rPr>
              <w:tab/>
            </w:r>
            <w:r w:rsidR="00AC570C" w:rsidRPr="00433051">
              <w:rPr>
                <w:rStyle w:val="Hyperlink"/>
                <w:noProof/>
              </w:rPr>
              <w:t>Optimize the Delivery of Secure Multi-provider Services</w:t>
            </w:r>
            <w:r w:rsidR="00AC570C">
              <w:rPr>
                <w:noProof/>
                <w:webHidden/>
              </w:rPr>
              <w:tab/>
            </w:r>
            <w:r w:rsidR="00AC570C">
              <w:rPr>
                <w:noProof/>
                <w:webHidden/>
              </w:rPr>
              <w:fldChar w:fldCharType="begin"/>
            </w:r>
            <w:r w:rsidR="00AC570C">
              <w:rPr>
                <w:noProof/>
                <w:webHidden/>
              </w:rPr>
              <w:instrText xml:space="preserve"> PAGEREF _Toc475636837 \h </w:instrText>
            </w:r>
            <w:r w:rsidR="00AC570C">
              <w:rPr>
                <w:noProof/>
                <w:webHidden/>
              </w:rPr>
            </w:r>
            <w:r w:rsidR="00AC570C">
              <w:rPr>
                <w:noProof/>
                <w:webHidden/>
              </w:rPr>
              <w:fldChar w:fldCharType="separate"/>
            </w:r>
            <w:r w:rsidR="00AC570C">
              <w:rPr>
                <w:noProof/>
                <w:webHidden/>
              </w:rPr>
              <w:t>24</w:t>
            </w:r>
            <w:r w:rsidR="00AC570C">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38" w:history="1">
            <w:r w:rsidR="00AC570C" w:rsidRPr="00433051">
              <w:rPr>
                <w:rStyle w:val="Hyperlink"/>
                <w:noProof/>
              </w:rPr>
              <w:t>6.5</w:t>
            </w:r>
            <w:r w:rsidR="00AC570C">
              <w:rPr>
                <w:rFonts w:asciiTheme="minorHAnsi" w:eastAsiaTheme="minorEastAsia" w:hAnsiTheme="minorHAnsi" w:cstheme="minorBidi"/>
                <w:smallCaps w:val="0"/>
                <w:noProof/>
                <w:sz w:val="22"/>
                <w:szCs w:val="22"/>
              </w:rPr>
              <w:tab/>
            </w:r>
            <w:r w:rsidR="00AC570C" w:rsidRPr="00433051">
              <w:rPr>
                <w:rStyle w:val="Hyperlink"/>
                <w:noProof/>
              </w:rPr>
              <w:t>Guide the Transition to DHS ECS</w:t>
            </w:r>
            <w:r w:rsidR="00AC570C">
              <w:rPr>
                <w:noProof/>
                <w:webHidden/>
              </w:rPr>
              <w:tab/>
            </w:r>
            <w:r w:rsidR="00AC570C">
              <w:rPr>
                <w:noProof/>
                <w:webHidden/>
              </w:rPr>
              <w:fldChar w:fldCharType="begin"/>
            </w:r>
            <w:r w:rsidR="00AC570C">
              <w:rPr>
                <w:noProof/>
                <w:webHidden/>
              </w:rPr>
              <w:instrText xml:space="preserve"> PAGEREF _Toc475636838 \h </w:instrText>
            </w:r>
            <w:r w:rsidR="00AC570C">
              <w:rPr>
                <w:noProof/>
                <w:webHidden/>
              </w:rPr>
            </w:r>
            <w:r w:rsidR="00AC570C">
              <w:rPr>
                <w:noProof/>
                <w:webHidden/>
              </w:rPr>
              <w:fldChar w:fldCharType="separate"/>
            </w:r>
            <w:r w:rsidR="00AC570C">
              <w:rPr>
                <w:noProof/>
                <w:webHidden/>
              </w:rPr>
              <w:t>25</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39" w:history="1">
            <w:r w:rsidR="00AC570C" w:rsidRPr="00433051">
              <w:rPr>
                <w:rStyle w:val="Hyperlink"/>
                <w:noProof/>
              </w:rPr>
              <w:t>7.</w:t>
            </w:r>
            <w:r w:rsidR="00AC570C">
              <w:rPr>
                <w:rFonts w:asciiTheme="minorHAnsi" w:eastAsiaTheme="minorEastAsia" w:hAnsiTheme="minorHAnsi" w:cstheme="minorBidi"/>
                <w:b w:val="0"/>
                <w:caps w:val="0"/>
                <w:noProof/>
                <w:sz w:val="22"/>
                <w:szCs w:val="22"/>
              </w:rPr>
              <w:tab/>
            </w:r>
            <w:r w:rsidR="00AC570C" w:rsidRPr="00433051">
              <w:rPr>
                <w:rStyle w:val="Hyperlink"/>
                <w:noProof/>
              </w:rPr>
              <w:t>Measuring the Benefits</w:t>
            </w:r>
            <w:r w:rsidR="00AC570C">
              <w:rPr>
                <w:noProof/>
                <w:webHidden/>
              </w:rPr>
              <w:tab/>
            </w:r>
            <w:r w:rsidR="00AC570C">
              <w:rPr>
                <w:noProof/>
                <w:webHidden/>
              </w:rPr>
              <w:fldChar w:fldCharType="begin"/>
            </w:r>
            <w:r w:rsidR="00AC570C">
              <w:rPr>
                <w:noProof/>
                <w:webHidden/>
              </w:rPr>
              <w:instrText xml:space="preserve"> PAGEREF _Toc475636839 \h </w:instrText>
            </w:r>
            <w:r w:rsidR="00AC570C">
              <w:rPr>
                <w:noProof/>
                <w:webHidden/>
              </w:rPr>
            </w:r>
            <w:r w:rsidR="00AC570C">
              <w:rPr>
                <w:noProof/>
                <w:webHidden/>
              </w:rPr>
              <w:fldChar w:fldCharType="separate"/>
            </w:r>
            <w:r w:rsidR="00AC570C">
              <w:rPr>
                <w:noProof/>
                <w:webHidden/>
              </w:rPr>
              <w:t>26</w:t>
            </w:r>
            <w:r w:rsidR="00AC570C">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40" w:history="1">
            <w:r w:rsidR="00AC570C" w:rsidRPr="00433051">
              <w:rPr>
                <w:rStyle w:val="Hyperlink"/>
                <w:noProof/>
              </w:rPr>
              <w:t>8.</w:t>
            </w:r>
            <w:r w:rsidR="00AC570C">
              <w:rPr>
                <w:rFonts w:asciiTheme="minorHAnsi" w:eastAsiaTheme="minorEastAsia" w:hAnsiTheme="minorHAnsi" w:cstheme="minorBidi"/>
                <w:b w:val="0"/>
                <w:caps w:val="0"/>
                <w:noProof/>
                <w:sz w:val="22"/>
                <w:szCs w:val="22"/>
              </w:rPr>
              <w:tab/>
            </w:r>
            <w:r w:rsidR="00AC570C" w:rsidRPr="00433051">
              <w:rPr>
                <w:rStyle w:val="Hyperlink"/>
                <w:noProof/>
              </w:rPr>
              <w:t>Challenges, Barriers and Mitigations</w:t>
            </w:r>
            <w:r w:rsidR="00AC570C">
              <w:rPr>
                <w:noProof/>
                <w:webHidden/>
              </w:rPr>
              <w:tab/>
            </w:r>
            <w:r w:rsidR="00AC570C">
              <w:rPr>
                <w:noProof/>
                <w:webHidden/>
              </w:rPr>
              <w:fldChar w:fldCharType="begin"/>
            </w:r>
            <w:r w:rsidR="00AC570C">
              <w:rPr>
                <w:noProof/>
                <w:webHidden/>
              </w:rPr>
              <w:instrText xml:space="preserve"> PAGEREF _Toc475636840 \h </w:instrText>
            </w:r>
            <w:r w:rsidR="00AC570C">
              <w:rPr>
                <w:noProof/>
                <w:webHidden/>
              </w:rPr>
            </w:r>
            <w:r w:rsidR="00AC570C">
              <w:rPr>
                <w:noProof/>
                <w:webHidden/>
              </w:rPr>
              <w:fldChar w:fldCharType="separate"/>
            </w:r>
            <w:r w:rsidR="00AC570C">
              <w:rPr>
                <w:noProof/>
                <w:webHidden/>
              </w:rPr>
              <w:t>29</w:t>
            </w:r>
            <w:r w:rsidR="00AC570C">
              <w:rPr>
                <w:noProof/>
                <w:webHidden/>
              </w:rPr>
              <w:fldChar w:fldCharType="end"/>
            </w:r>
          </w:hyperlink>
        </w:p>
        <w:p w:rsidR="00AC570C" w:rsidRPr="00E04ABD" w:rsidRDefault="00CB04D7">
          <w:pPr>
            <w:pStyle w:val="TOC1"/>
            <w:rPr>
              <w:rFonts w:asciiTheme="minorHAnsi" w:eastAsiaTheme="minorEastAsia" w:hAnsiTheme="minorHAnsi" w:cstheme="minorBidi"/>
              <w:b w:val="0"/>
              <w:caps w:val="0"/>
              <w:noProof/>
              <w:sz w:val="22"/>
              <w:szCs w:val="22"/>
            </w:rPr>
          </w:pPr>
          <w:hyperlink w:anchor="_Toc475636841" w:history="1">
            <w:r w:rsidR="00AC570C" w:rsidRPr="00E04ABD">
              <w:rPr>
                <w:rStyle w:val="Hyperlink"/>
                <w:noProof/>
              </w:rPr>
              <w:t>9.</w:t>
            </w:r>
            <w:r w:rsidR="00AC570C" w:rsidRPr="00E04ABD">
              <w:rPr>
                <w:rFonts w:asciiTheme="minorHAnsi" w:eastAsiaTheme="minorEastAsia" w:hAnsiTheme="minorHAnsi" w:cstheme="minorBidi"/>
                <w:b w:val="0"/>
                <w:caps w:val="0"/>
                <w:noProof/>
                <w:sz w:val="22"/>
                <w:szCs w:val="22"/>
              </w:rPr>
              <w:tab/>
            </w:r>
            <w:r w:rsidR="00AC570C" w:rsidRPr="00E04ABD">
              <w:rPr>
                <w:rStyle w:val="Hyperlink"/>
                <w:noProof/>
              </w:rPr>
              <w:t>Transition Metrics and Schedule</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_Toc475636841 \h </w:instrText>
            </w:r>
            <w:r w:rsidR="00AC570C" w:rsidRPr="00E04ABD">
              <w:rPr>
                <w:noProof/>
                <w:webHidden/>
              </w:rPr>
            </w:r>
            <w:r w:rsidR="00AC570C" w:rsidRPr="00E04ABD">
              <w:rPr>
                <w:noProof/>
                <w:webHidden/>
              </w:rPr>
              <w:fldChar w:fldCharType="separate"/>
            </w:r>
            <w:r w:rsidR="00AC570C" w:rsidRPr="00E04ABD">
              <w:rPr>
                <w:noProof/>
                <w:webHidden/>
              </w:rPr>
              <w:t>32</w:t>
            </w:r>
            <w:r w:rsidR="00AC570C" w:rsidRPr="00E04ABD">
              <w:rPr>
                <w:noProof/>
                <w:webHidden/>
              </w:rPr>
              <w:fldChar w:fldCharType="end"/>
            </w:r>
          </w:hyperlink>
        </w:p>
        <w:p w:rsidR="00AC570C" w:rsidRPr="00E04ABD" w:rsidRDefault="00CB04D7">
          <w:pPr>
            <w:pStyle w:val="TOC2"/>
            <w:rPr>
              <w:rFonts w:asciiTheme="minorHAnsi" w:eastAsiaTheme="minorEastAsia" w:hAnsiTheme="minorHAnsi" w:cstheme="minorBidi"/>
              <w:smallCaps w:val="0"/>
              <w:noProof/>
              <w:sz w:val="22"/>
              <w:szCs w:val="22"/>
            </w:rPr>
          </w:pPr>
          <w:hyperlink w:anchor="_Toc475636842" w:history="1">
            <w:r w:rsidR="00AC570C" w:rsidRPr="00E04ABD">
              <w:rPr>
                <w:rStyle w:val="Hyperlink"/>
                <w:noProof/>
              </w:rPr>
              <w:t>9.1</w:t>
            </w:r>
            <w:r w:rsidR="00AC570C" w:rsidRPr="00E04ABD">
              <w:rPr>
                <w:rFonts w:asciiTheme="minorHAnsi" w:eastAsiaTheme="minorEastAsia" w:hAnsiTheme="minorHAnsi" w:cstheme="minorBidi"/>
                <w:smallCaps w:val="0"/>
                <w:noProof/>
                <w:sz w:val="22"/>
                <w:szCs w:val="22"/>
              </w:rPr>
              <w:tab/>
            </w:r>
            <w:r w:rsidR="00AC570C" w:rsidRPr="00E04ABD">
              <w:rPr>
                <w:rStyle w:val="Hyperlink"/>
                <w:noProof/>
              </w:rPr>
              <w:t>Compliance with DCOI Scope and Definitions</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_Toc475636842 \h </w:instrText>
            </w:r>
            <w:r w:rsidR="00AC570C" w:rsidRPr="00E04ABD">
              <w:rPr>
                <w:noProof/>
                <w:webHidden/>
              </w:rPr>
            </w:r>
            <w:r w:rsidR="00AC570C" w:rsidRPr="00E04ABD">
              <w:rPr>
                <w:noProof/>
                <w:webHidden/>
              </w:rPr>
              <w:fldChar w:fldCharType="separate"/>
            </w:r>
            <w:r w:rsidR="00AC570C" w:rsidRPr="00E04ABD">
              <w:rPr>
                <w:noProof/>
                <w:webHidden/>
              </w:rPr>
              <w:t>32</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43" w:history="1">
            <w:r w:rsidR="00AC570C" w:rsidRPr="00E04ABD">
              <w:rPr>
                <w:rStyle w:val="Hyperlink"/>
                <w:noProof/>
              </w:rPr>
              <w:t>9.1.1</w:t>
            </w:r>
            <w:r w:rsidR="00AC570C" w:rsidRPr="00E04ABD">
              <w:rPr>
                <w:rFonts w:asciiTheme="minorHAnsi" w:eastAsiaTheme="minorEastAsia" w:hAnsiTheme="minorHAnsi" w:cstheme="minorBidi"/>
                <w:i w:val="0"/>
                <w:noProof/>
                <w:sz w:val="22"/>
                <w:szCs w:val="22"/>
              </w:rPr>
              <w:tab/>
            </w:r>
            <w:r w:rsidR="00AC570C" w:rsidRPr="00E04ABD">
              <w:rPr>
                <w:rStyle w:val="Hyperlink"/>
                <w:noProof/>
              </w:rPr>
              <w:t>Tiered DHS Data Centers</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_Toc475636843 \h </w:instrText>
            </w:r>
            <w:r w:rsidR="00AC570C" w:rsidRPr="00E04ABD">
              <w:rPr>
                <w:noProof/>
                <w:webHidden/>
              </w:rPr>
            </w:r>
            <w:r w:rsidR="00AC570C" w:rsidRPr="00E04ABD">
              <w:rPr>
                <w:noProof/>
                <w:webHidden/>
              </w:rPr>
              <w:fldChar w:fldCharType="separate"/>
            </w:r>
            <w:r w:rsidR="00AC570C" w:rsidRPr="00E04ABD">
              <w:rPr>
                <w:noProof/>
                <w:webHidden/>
              </w:rPr>
              <w:t>33</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44" w:history="1">
            <w:r w:rsidR="00AC570C" w:rsidRPr="00E04ABD">
              <w:rPr>
                <w:rStyle w:val="Hyperlink"/>
                <w:noProof/>
              </w:rPr>
              <w:t>9.1.2</w:t>
            </w:r>
            <w:r w:rsidR="00AC570C" w:rsidRPr="00E04ABD">
              <w:rPr>
                <w:rFonts w:asciiTheme="minorHAnsi" w:eastAsiaTheme="minorEastAsia" w:hAnsiTheme="minorHAnsi" w:cstheme="minorBidi"/>
                <w:i w:val="0"/>
                <w:noProof/>
                <w:sz w:val="22"/>
                <w:szCs w:val="22"/>
              </w:rPr>
              <w:tab/>
            </w:r>
            <w:r w:rsidR="00AC570C" w:rsidRPr="00E04ABD">
              <w:rPr>
                <w:rStyle w:val="Hyperlink"/>
                <w:noProof/>
              </w:rPr>
              <w:t>Non-Tiered DHS Data Centers</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_Toc475636844 \h </w:instrText>
            </w:r>
            <w:r w:rsidR="00AC570C" w:rsidRPr="00E04ABD">
              <w:rPr>
                <w:noProof/>
                <w:webHidden/>
              </w:rPr>
            </w:r>
            <w:r w:rsidR="00AC570C" w:rsidRPr="00E04ABD">
              <w:rPr>
                <w:noProof/>
                <w:webHidden/>
              </w:rPr>
              <w:fldChar w:fldCharType="separate"/>
            </w:r>
            <w:r w:rsidR="00AC570C" w:rsidRPr="00E04ABD">
              <w:rPr>
                <w:noProof/>
                <w:webHidden/>
              </w:rPr>
              <w:t>34</w:t>
            </w:r>
            <w:r w:rsidR="00AC570C" w:rsidRPr="00E04ABD">
              <w:rPr>
                <w:noProof/>
                <w:webHidden/>
              </w:rPr>
              <w:fldChar w:fldCharType="end"/>
            </w:r>
          </w:hyperlink>
        </w:p>
        <w:p w:rsidR="00AC570C" w:rsidRPr="00E04ABD" w:rsidRDefault="00CB04D7">
          <w:pPr>
            <w:pStyle w:val="TOC2"/>
            <w:rPr>
              <w:rFonts w:asciiTheme="minorHAnsi" w:eastAsiaTheme="minorEastAsia" w:hAnsiTheme="minorHAnsi" w:cstheme="minorBidi"/>
              <w:smallCaps w:val="0"/>
              <w:noProof/>
              <w:sz w:val="22"/>
              <w:szCs w:val="22"/>
            </w:rPr>
          </w:pPr>
          <w:hyperlink w:anchor="_Toc475636845" w:history="1">
            <w:r w:rsidR="00AC570C" w:rsidRPr="00E04ABD">
              <w:rPr>
                <w:rStyle w:val="Hyperlink"/>
                <w:noProof/>
              </w:rPr>
              <w:t>9.2</w:t>
            </w:r>
            <w:r w:rsidR="00AC570C" w:rsidRPr="00E04ABD">
              <w:rPr>
                <w:rFonts w:asciiTheme="minorHAnsi" w:eastAsiaTheme="minorEastAsia" w:hAnsiTheme="minorHAnsi" w:cstheme="minorBidi"/>
                <w:smallCaps w:val="0"/>
                <w:noProof/>
                <w:sz w:val="22"/>
                <w:szCs w:val="22"/>
              </w:rPr>
              <w:tab/>
            </w:r>
            <w:r w:rsidR="00AC570C" w:rsidRPr="00E04ABD">
              <w:rPr>
                <w:rStyle w:val="Hyperlink"/>
                <w:noProof/>
              </w:rPr>
              <w:t>Plan to Achieve DCOI Targeted Performance Levels</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_Toc475636845 \h </w:instrText>
            </w:r>
            <w:r w:rsidR="00AC570C" w:rsidRPr="00E04ABD">
              <w:rPr>
                <w:noProof/>
                <w:webHidden/>
              </w:rPr>
            </w:r>
            <w:r w:rsidR="00AC570C" w:rsidRPr="00E04ABD">
              <w:rPr>
                <w:noProof/>
                <w:webHidden/>
              </w:rPr>
              <w:fldChar w:fldCharType="separate"/>
            </w:r>
            <w:r w:rsidR="00AC570C" w:rsidRPr="00E04ABD">
              <w:rPr>
                <w:noProof/>
                <w:webHidden/>
              </w:rPr>
              <w:t>35</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46" w:history="1">
            <w:r w:rsidR="00AC570C" w:rsidRPr="00E04ABD">
              <w:rPr>
                <w:rStyle w:val="Hyperlink"/>
                <w:noProof/>
              </w:rPr>
              <w:t>9.2.1</w:t>
            </w:r>
            <w:r w:rsidR="00AC570C" w:rsidRPr="00E04ABD">
              <w:rPr>
                <w:rFonts w:asciiTheme="minorHAnsi" w:eastAsiaTheme="minorEastAsia" w:hAnsiTheme="minorHAnsi" w:cstheme="minorBidi"/>
                <w:i w:val="0"/>
                <w:noProof/>
                <w:sz w:val="22"/>
                <w:szCs w:val="22"/>
              </w:rPr>
              <w:tab/>
            </w:r>
            <w:r w:rsidR="00AC570C" w:rsidRPr="00E04ABD">
              <w:rPr>
                <w:rStyle w:val="Hyperlink"/>
                <w:noProof/>
              </w:rPr>
              <w:t>Energy Metering</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_Toc475636846 \h </w:instrText>
            </w:r>
            <w:r w:rsidR="00AC570C" w:rsidRPr="00E04ABD">
              <w:rPr>
                <w:noProof/>
                <w:webHidden/>
              </w:rPr>
            </w:r>
            <w:r w:rsidR="00AC570C" w:rsidRPr="00E04ABD">
              <w:rPr>
                <w:noProof/>
                <w:webHidden/>
              </w:rPr>
              <w:fldChar w:fldCharType="separate"/>
            </w:r>
            <w:r w:rsidR="00AC570C" w:rsidRPr="00E04ABD">
              <w:rPr>
                <w:noProof/>
                <w:webHidden/>
              </w:rPr>
              <w:t>35</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47" w:history="1">
            <w:r w:rsidR="00AC570C" w:rsidRPr="00E04ABD">
              <w:rPr>
                <w:rStyle w:val="Hyperlink"/>
                <w:noProof/>
              </w:rPr>
              <w:t>9.2.2</w:t>
            </w:r>
            <w:r w:rsidR="00AC570C" w:rsidRPr="00E04ABD">
              <w:rPr>
                <w:rFonts w:asciiTheme="minorHAnsi" w:eastAsiaTheme="minorEastAsia" w:hAnsiTheme="minorHAnsi" w:cstheme="minorBidi"/>
                <w:i w:val="0"/>
                <w:noProof/>
                <w:sz w:val="22"/>
                <w:szCs w:val="22"/>
              </w:rPr>
              <w:tab/>
            </w:r>
            <w:r w:rsidR="00AC570C" w:rsidRPr="00E04ABD">
              <w:rPr>
                <w:rStyle w:val="Hyperlink"/>
                <w:noProof/>
              </w:rPr>
              <w:t>Power Efficiency</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_Toc475636847 \h </w:instrText>
            </w:r>
            <w:r w:rsidR="00AC570C" w:rsidRPr="00E04ABD">
              <w:rPr>
                <w:noProof/>
                <w:webHidden/>
              </w:rPr>
            </w:r>
            <w:r w:rsidR="00AC570C" w:rsidRPr="00E04ABD">
              <w:rPr>
                <w:noProof/>
                <w:webHidden/>
              </w:rPr>
              <w:fldChar w:fldCharType="separate"/>
            </w:r>
            <w:r w:rsidR="00AC570C" w:rsidRPr="00E04ABD">
              <w:rPr>
                <w:noProof/>
                <w:webHidden/>
              </w:rPr>
              <w:t>37</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48" w:history="1">
            <w:r w:rsidR="00AC570C" w:rsidRPr="00E04ABD">
              <w:rPr>
                <w:rStyle w:val="Hyperlink"/>
                <w:noProof/>
              </w:rPr>
              <w:t>9.2.3</w:t>
            </w:r>
            <w:r w:rsidR="00AC570C" w:rsidRPr="00E04ABD">
              <w:rPr>
                <w:rFonts w:asciiTheme="minorHAnsi" w:eastAsiaTheme="minorEastAsia" w:hAnsiTheme="minorHAnsi" w:cstheme="minorBidi"/>
                <w:i w:val="0"/>
                <w:noProof/>
                <w:sz w:val="22"/>
                <w:szCs w:val="22"/>
              </w:rPr>
              <w:tab/>
            </w:r>
            <w:r w:rsidR="00AC570C" w:rsidRPr="00E04ABD">
              <w:rPr>
                <w:rStyle w:val="Hyperlink"/>
                <w:noProof/>
              </w:rPr>
              <w:t>Virtualization</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_Toc475636848 \h </w:instrText>
            </w:r>
            <w:r w:rsidR="00AC570C" w:rsidRPr="00E04ABD">
              <w:rPr>
                <w:noProof/>
                <w:webHidden/>
              </w:rPr>
            </w:r>
            <w:r w:rsidR="00AC570C" w:rsidRPr="00E04ABD">
              <w:rPr>
                <w:noProof/>
                <w:webHidden/>
              </w:rPr>
              <w:fldChar w:fldCharType="separate"/>
            </w:r>
            <w:r w:rsidR="00AC570C" w:rsidRPr="00E04ABD">
              <w:rPr>
                <w:noProof/>
                <w:webHidden/>
              </w:rPr>
              <w:t>38</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49" w:history="1">
            <w:r w:rsidR="00AC570C" w:rsidRPr="00E04ABD">
              <w:rPr>
                <w:rStyle w:val="Hyperlink"/>
                <w:noProof/>
              </w:rPr>
              <w:t>9.2.4</w:t>
            </w:r>
            <w:r w:rsidR="00AC570C" w:rsidRPr="00E04ABD">
              <w:rPr>
                <w:rFonts w:asciiTheme="minorHAnsi" w:eastAsiaTheme="minorEastAsia" w:hAnsiTheme="minorHAnsi" w:cstheme="minorBidi"/>
                <w:i w:val="0"/>
                <w:noProof/>
                <w:sz w:val="22"/>
                <w:szCs w:val="22"/>
              </w:rPr>
              <w:tab/>
            </w:r>
            <w:r w:rsidR="00AC570C" w:rsidRPr="00E04ABD">
              <w:rPr>
                <w:rStyle w:val="Hyperlink"/>
                <w:noProof/>
              </w:rPr>
              <w:t>Server Utilization</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_Toc475636849 \h </w:instrText>
            </w:r>
            <w:r w:rsidR="00AC570C" w:rsidRPr="00E04ABD">
              <w:rPr>
                <w:noProof/>
                <w:webHidden/>
              </w:rPr>
            </w:r>
            <w:r w:rsidR="00AC570C" w:rsidRPr="00E04ABD">
              <w:rPr>
                <w:noProof/>
                <w:webHidden/>
              </w:rPr>
              <w:fldChar w:fldCharType="separate"/>
            </w:r>
            <w:r w:rsidR="00AC570C" w:rsidRPr="00E04ABD">
              <w:rPr>
                <w:noProof/>
                <w:webHidden/>
              </w:rPr>
              <w:t>39</w:t>
            </w:r>
            <w:r w:rsidR="00AC570C" w:rsidRPr="00E04ABD">
              <w:rPr>
                <w:noProof/>
                <w:webHidden/>
              </w:rPr>
              <w:fldChar w:fldCharType="end"/>
            </w:r>
          </w:hyperlink>
        </w:p>
        <w:p w:rsidR="00AC570C" w:rsidRPr="00E04ABD" w:rsidRDefault="00CB04D7">
          <w:pPr>
            <w:pStyle w:val="TOC3"/>
            <w:rPr>
              <w:rFonts w:asciiTheme="minorHAnsi" w:eastAsiaTheme="minorEastAsia" w:hAnsiTheme="minorHAnsi" w:cstheme="minorBidi"/>
              <w:i w:val="0"/>
              <w:noProof/>
              <w:sz w:val="22"/>
              <w:szCs w:val="22"/>
            </w:rPr>
          </w:pPr>
          <w:hyperlink w:anchor="_Toc475636850" w:history="1">
            <w:r w:rsidR="00AC570C" w:rsidRPr="00E04ABD">
              <w:rPr>
                <w:rStyle w:val="Hyperlink"/>
                <w:noProof/>
              </w:rPr>
              <w:t>9.2.5</w:t>
            </w:r>
            <w:r w:rsidR="00AC570C" w:rsidRPr="00E04ABD">
              <w:rPr>
                <w:rFonts w:asciiTheme="minorHAnsi" w:eastAsiaTheme="minorEastAsia" w:hAnsiTheme="minorHAnsi" w:cstheme="minorBidi"/>
                <w:i w:val="0"/>
                <w:noProof/>
                <w:sz w:val="22"/>
                <w:szCs w:val="22"/>
              </w:rPr>
              <w:tab/>
            </w:r>
            <w:r w:rsidR="00AC570C" w:rsidRPr="00E04ABD">
              <w:rPr>
                <w:rStyle w:val="Hyperlink"/>
                <w:noProof/>
              </w:rPr>
              <w:t>Facility Utilization</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_Toc475636850 \h </w:instrText>
            </w:r>
            <w:r w:rsidR="00AC570C" w:rsidRPr="00E04ABD">
              <w:rPr>
                <w:noProof/>
                <w:webHidden/>
              </w:rPr>
            </w:r>
            <w:r w:rsidR="00AC570C" w:rsidRPr="00E04ABD">
              <w:rPr>
                <w:noProof/>
                <w:webHidden/>
              </w:rPr>
              <w:fldChar w:fldCharType="separate"/>
            </w:r>
            <w:r w:rsidR="00AC570C" w:rsidRPr="00E04ABD">
              <w:rPr>
                <w:noProof/>
                <w:webHidden/>
              </w:rPr>
              <w:t>40</w:t>
            </w:r>
            <w:r w:rsidR="00AC570C" w:rsidRPr="00E04ABD">
              <w:rPr>
                <w:noProof/>
                <w:webHidden/>
              </w:rPr>
              <w:fldChar w:fldCharType="end"/>
            </w:r>
          </w:hyperlink>
        </w:p>
        <w:p w:rsidR="00AC570C" w:rsidRPr="00E04ABD" w:rsidRDefault="00CB04D7">
          <w:pPr>
            <w:pStyle w:val="TOC2"/>
            <w:rPr>
              <w:rFonts w:asciiTheme="minorHAnsi" w:eastAsiaTheme="minorEastAsia" w:hAnsiTheme="minorHAnsi" w:cstheme="minorBidi"/>
              <w:smallCaps w:val="0"/>
              <w:noProof/>
              <w:sz w:val="22"/>
              <w:szCs w:val="22"/>
            </w:rPr>
          </w:pPr>
          <w:hyperlink w:anchor="_Toc475636851" w:history="1">
            <w:r w:rsidR="00AC570C" w:rsidRPr="00E04ABD">
              <w:rPr>
                <w:rStyle w:val="Hyperlink"/>
                <w:noProof/>
              </w:rPr>
              <w:t>9.3</w:t>
            </w:r>
            <w:r w:rsidR="00AC570C" w:rsidRPr="00E04ABD">
              <w:rPr>
                <w:rFonts w:asciiTheme="minorHAnsi" w:eastAsiaTheme="minorEastAsia" w:hAnsiTheme="minorHAnsi" w:cstheme="minorBidi"/>
                <w:smallCaps w:val="0"/>
                <w:noProof/>
                <w:sz w:val="22"/>
                <w:szCs w:val="22"/>
              </w:rPr>
              <w:tab/>
            </w:r>
            <w:r w:rsidR="00AC570C" w:rsidRPr="00E04ABD">
              <w:rPr>
                <w:rStyle w:val="Hyperlink"/>
                <w:noProof/>
              </w:rPr>
              <w:t>Plan to Achieve DCOI Targeted Data Center Closures</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_Toc475636851 \h </w:instrText>
            </w:r>
            <w:r w:rsidR="00AC570C" w:rsidRPr="00E04ABD">
              <w:rPr>
                <w:noProof/>
                <w:webHidden/>
              </w:rPr>
            </w:r>
            <w:r w:rsidR="00AC570C" w:rsidRPr="00E04ABD">
              <w:rPr>
                <w:noProof/>
                <w:webHidden/>
              </w:rPr>
              <w:fldChar w:fldCharType="separate"/>
            </w:r>
            <w:r w:rsidR="00AC570C" w:rsidRPr="00E04ABD">
              <w:rPr>
                <w:noProof/>
                <w:webHidden/>
              </w:rPr>
              <w:t>41</w:t>
            </w:r>
            <w:r w:rsidR="00AC570C" w:rsidRPr="00E04ABD">
              <w:rPr>
                <w:noProof/>
                <w:webHidden/>
              </w:rPr>
              <w:fldChar w:fldCharType="end"/>
            </w:r>
          </w:hyperlink>
        </w:p>
        <w:p w:rsidR="00AC570C" w:rsidRDefault="00CB04D7">
          <w:pPr>
            <w:pStyle w:val="TOC2"/>
            <w:rPr>
              <w:rFonts w:asciiTheme="minorHAnsi" w:eastAsiaTheme="minorEastAsia" w:hAnsiTheme="minorHAnsi" w:cstheme="minorBidi"/>
              <w:smallCaps w:val="0"/>
              <w:noProof/>
              <w:sz w:val="22"/>
              <w:szCs w:val="22"/>
            </w:rPr>
          </w:pPr>
          <w:hyperlink w:anchor="_Toc475636852" w:history="1">
            <w:r w:rsidR="00AC570C" w:rsidRPr="00E04ABD">
              <w:rPr>
                <w:rStyle w:val="Hyperlink"/>
                <w:noProof/>
              </w:rPr>
              <w:t>9.4</w:t>
            </w:r>
            <w:r w:rsidR="00AC570C" w:rsidRPr="00E04ABD">
              <w:rPr>
                <w:rFonts w:asciiTheme="minorHAnsi" w:eastAsiaTheme="minorEastAsia" w:hAnsiTheme="minorHAnsi" w:cstheme="minorBidi"/>
                <w:smallCaps w:val="0"/>
                <w:noProof/>
                <w:sz w:val="22"/>
                <w:szCs w:val="22"/>
              </w:rPr>
              <w:tab/>
            </w:r>
            <w:r w:rsidR="00AC570C" w:rsidRPr="00E04ABD">
              <w:rPr>
                <w:rStyle w:val="Hyperlink"/>
                <w:noProof/>
              </w:rPr>
              <w:t>Plan to Achieve Data Center Savings and Cost Avoidance</w:t>
            </w:r>
            <w:r w:rsidR="00AC570C" w:rsidRPr="00E04ABD">
              <w:rPr>
                <w:noProof/>
                <w:webHidden/>
              </w:rPr>
              <w:tab/>
            </w:r>
            <w:r w:rsidR="00AC570C" w:rsidRPr="00E04ABD">
              <w:rPr>
                <w:noProof/>
                <w:webHidden/>
              </w:rPr>
              <w:fldChar w:fldCharType="begin"/>
            </w:r>
            <w:r w:rsidR="00AC570C" w:rsidRPr="00E04ABD">
              <w:rPr>
                <w:noProof/>
                <w:webHidden/>
              </w:rPr>
              <w:instrText xml:space="preserve"> PAGEREF _Toc475636852 \h </w:instrText>
            </w:r>
            <w:r w:rsidR="00AC570C" w:rsidRPr="00E04ABD">
              <w:rPr>
                <w:noProof/>
                <w:webHidden/>
              </w:rPr>
            </w:r>
            <w:r w:rsidR="00AC570C" w:rsidRPr="00E04ABD">
              <w:rPr>
                <w:noProof/>
                <w:webHidden/>
              </w:rPr>
              <w:fldChar w:fldCharType="separate"/>
            </w:r>
            <w:r w:rsidR="00AC570C" w:rsidRPr="00E04ABD">
              <w:rPr>
                <w:noProof/>
                <w:webHidden/>
              </w:rPr>
              <w:t>43</w:t>
            </w:r>
            <w:r w:rsidR="00AC570C" w:rsidRPr="00E04ABD">
              <w:rPr>
                <w:noProof/>
                <w:webHidden/>
              </w:rPr>
              <w:fldChar w:fldCharType="end"/>
            </w:r>
          </w:hyperlink>
        </w:p>
        <w:p w:rsidR="00AC570C" w:rsidRDefault="00CB04D7">
          <w:pPr>
            <w:pStyle w:val="TOC1"/>
            <w:rPr>
              <w:rFonts w:asciiTheme="minorHAnsi" w:eastAsiaTheme="minorEastAsia" w:hAnsiTheme="minorHAnsi" w:cstheme="minorBidi"/>
              <w:b w:val="0"/>
              <w:caps w:val="0"/>
              <w:noProof/>
              <w:sz w:val="22"/>
              <w:szCs w:val="22"/>
            </w:rPr>
          </w:pPr>
          <w:hyperlink w:anchor="_Toc475636853" w:history="1">
            <w:r w:rsidR="00AC570C" w:rsidRPr="00433051">
              <w:rPr>
                <w:rStyle w:val="Hyperlink"/>
                <w:noProof/>
              </w:rPr>
              <w:t>10.</w:t>
            </w:r>
            <w:r w:rsidR="00AC570C">
              <w:rPr>
                <w:rFonts w:asciiTheme="minorHAnsi" w:eastAsiaTheme="minorEastAsia" w:hAnsiTheme="minorHAnsi" w:cstheme="minorBidi"/>
                <w:b w:val="0"/>
                <w:caps w:val="0"/>
                <w:noProof/>
                <w:sz w:val="22"/>
                <w:szCs w:val="22"/>
              </w:rPr>
              <w:tab/>
            </w:r>
            <w:r w:rsidR="00AC570C" w:rsidRPr="00433051">
              <w:rPr>
                <w:rStyle w:val="Hyperlink"/>
                <w:noProof/>
              </w:rPr>
              <w:t>Conclusion</w:t>
            </w:r>
            <w:r w:rsidR="00AC570C">
              <w:rPr>
                <w:noProof/>
                <w:webHidden/>
              </w:rPr>
              <w:tab/>
            </w:r>
            <w:r w:rsidR="00AC570C">
              <w:rPr>
                <w:noProof/>
                <w:webHidden/>
              </w:rPr>
              <w:fldChar w:fldCharType="begin"/>
            </w:r>
            <w:r w:rsidR="00AC570C">
              <w:rPr>
                <w:noProof/>
                <w:webHidden/>
              </w:rPr>
              <w:instrText xml:space="preserve"> PAGEREF _Toc475636853 \h </w:instrText>
            </w:r>
            <w:r w:rsidR="00AC570C">
              <w:rPr>
                <w:noProof/>
                <w:webHidden/>
              </w:rPr>
            </w:r>
            <w:r w:rsidR="00AC570C">
              <w:rPr>
                <w:noProof/>
                <w:webHidden/>
              </w:rPr>
              <w:fldChar w:fldCharType="separate"/>
            </w:r>
            <w:r w:rsidR="00AC570C">
              <w:rPr>
                <w:noProof/>
                <w:webHidden/>
              </w:rPr>
              <w:t>44</w:t>
            </w:r>
            <w:r w:rsidR="00AC570C">
              <w:rPr>
                <w:noProof/>
                <w:webHidden/>
              </w:rPr>
              <w:fldChar w:fldCharType="end"/>
            </w:r>
          </w:hyperlink>
        </w:p>
        <w:p w:rsidR="00BC1228" w:rsidRDefault="005A1AFD" w:rsidP="00BC1228">
          <w:pPr>
            <w:rPr>
              <w:b/>
              <w:bCs/>
              <w:noProof/>
            </w:rPr>
          </w:pPr>
          <w:r>
            <w:rPr>
              <w:b/>
              <w:bCs/>
              <w:noProof/>
            </w:rPr>
            <w:fldChar w:fldCharType="end"/>
          </w:r>
        </w:p>
      </w:sdtContent>
    </w:sdt>
    <w:p w:rsidR="00C63078" w:rsidRDefault="0072477B">
      <w:pPr>
        <w:spacing w:after="0"/>
        <w:rPr>
          <w:noProof/>
        </w:rPr>
      </w:pPr>
      <w:r>
        <w:rPr>
          <w:b/>
          <w:bCs/>
          <w:noProof/>
        </w:rPr>
        <w:br w:type="page"/>
      </w:r>
      <w:r w:rsidR="004178C3">
        <w:rPr>
          <w:b/>
          <w:bCs/>
          <w:noProof/>
        </w:rPr>
        <w:fldChar w:fldCharType="begin"/>
      </w:r>
      <w:r w:rsidR="004178C3">
        <w:rPr>
          <w:b/>
          <w:bCs/>
          <w:noProof/>
        </w:rPr>
        <w:instrText xml:space="preserve"> TOC \h \z \c "Figure" </w:instrText>
      </w:r>
      <w:r w:rsidR="004178C3">
        <w:rPr>
          <w:b/>
          <w:bCs/>
          <w:noProof/>
        </w:rPr>
        <w:fldChar w:fldCharType="separate"/>
      </w:r>
    </w:p>
    <w:p w:rsidR="00C63078" w:rsidRDefault="00CB04D7">
      <w:pPr>
        <w:pStyle w:val="TableofFigures"/>
        <w:rPr>
          <w:rFonts w:asciiTheme="minorHAnsi" w:eastAsiaTheme="minorEastAsia" w:hAnsiTheme="minorHAnsi" w:cstheme="minorBidi"/>
          <w:noProof/>
          <w:sz w:val="22"/>
          <w:szCs w:val="22"/>
        </w:rPr>
      </w:pPr>
      <w:hyperlink w:anchor="_Toc475635601" w:history="1">
        <w:r w:rsidR="00C63078" w:rsidRPr="006C54D6">
          <w:rPr>
            <w:rStyle w:val="Hyperlink"/>
            <w:noProof/>
          </w:rPr>
          <w:t>Figure 1: DHS Enterprise Computing Services Overview</w:t>
        </w:r>
        <w:r w:rsidR="00C63078">
          <w:rPr>
            <w:noProof/>
            <w:webHidden/>
          </w:rPr>
          <w:tab/>
        </w:r>
        <w:r w:rsidR="00C63078">
          <w:rPr>
            <w:noProof/>
            <w:webHidden/>
          </w:rPr>
          <w:fldChar w:fldCharType="begin"/>
        </w:r>
        <w:r w:rsidR="00C63078">
          <w:rPr>
            <w:noProof/>
            <w:webHidden/>
          </w:rPr>
          <w:instrText xml:space="preserve"> PAGEREF _Toc475635601 \h </w:instrText>
        </w:r>
        <w:r w:rsidR="00C63078">
          <w:rPr>
            <w:noProof/>
            <w:webHidden/>
          </w:rPr>
        </w:r>
        <w:r w:rsidR="00C63078">
          <w:rPr>
            <w:noProof/>
            <w:webHidden/>
          </w:rPr>
          <w:fldChar w:fldCharType="separate"/>
        </w:r>
        <w:r w:rsidR="00C63078">
          <w:rPr>
            <w:noProof/>
            <w:webHidden/>
          </w:rPr>
          <w:t>12</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2" w:history="1">
        <w:r w:rsidR="00C63078" w:rsidRPr="006C54D6">
          <w:rPr>
            <w:rStyle w:val="Hyperlink"/>
            <w:noProof/>
          </w:rPr>
          <w:t>Figure 2. Challenges and Mitigation</w:t>
        </w:r>
        <w:r w:rsidR="00C63078">
          <w:rPr>
            <w:noProof/>
            <w:webHidden/>
          </w:rPr>
          <w:tab/>
        </w:r>
        <w:r w:rsidR="00C63078">
          <w:rPr>
            <w:noProof/>
            <w:webHidden/>
          </w:rPr>
          <w:fldChar w:fldCharType="begin"/>
        </w:r>
        <w:r w:rsidR="00C63078">
          <w:rPr>
            <w:noProof/>
            <w:webHidden/>
          </w:rPr>
          <w:instrText xml:space="preserve"> PAGEREF _Toc475635602 \h </w:instrText>
        </w:r>
        <w:r w:rsidR="00C63078">
          <w:rPr>
            <w:noProof/>
            <w:webHidden/>
          </w:rPr>
        </w:r>
        <w:r w:rsidR="00C63078">
          <w:rPr>
            <w:noProof/>
            <w:webHidden/>
          </w:rPr>
          <w:fldChar w:fldCharType="separate"/>
        </w:r>
        <w:r w:rsidR="00C63078">
          <w:rPr>
            <w:noProof/>
            <w:webHidden/>
          </w:rPr>
          <w:t>30</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3" w:history="1">
        <w:r w:rsidR="00C63078" w:rsidRPr="006C54D6">
          <w:rPr>
            <w:rStyle w:val="Hyperlink"/>
            <w:noProof/>
          </w:rPr>
          <w:t>Figure 3. Breakdown of DHS Tiered Data Centers</w:t>
        </w:r>
        <w:r w:rsidR="00C63078">
          <w:rPr>
            <w:noProof/>
            <w:webHidden/>
          </w:rPr>
          <w:tab/>
        </w:r>
        <w:r w:rsidR="00C63078">
          <w:rPr>
            <w:noProof/>
            <w:webHidden/>
          </w:rPr>
          <w:fldChar w:fldCharType="begin"/>
        </w:r>
        <w:r w:rsidR="00C63078">
          <w:rPr>
            <w:noProof/>
            <w:webHidden/>
          </w:rPr>
          <w:instrText xml:space="preserve"> PAGEREF _Toc475635603 \h </w:instrText>
        </w:r>
        <w:r w:rsidR="00C63078">
          <w:rPr>
            <w:noProof/>
            <w:webHidden/>
          </w:rPr>
        </w:r>
        <w:r w:rsidR="00C63078">
          <w:rPr>
            <w:noProof/>
            <w:webHidden/>
          </w:rPr>
          <w:fldChar w:fldCharType="separate"/>
        </w:r>
        <w:r w:rsidR="00C63078">
          <w:rPr>
            <w:noProof/>
            <w:webHidden/>
          </w:rPr>
          <w:t>33</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4" w:history="1">
        <w:r w:rsidR="00C63078" w:rsidRPr="006C54D6">
          <w:rPr>
            <w:rStyle w:val="Hyperlink"/>
            <w:noProof/>
          </w:rPr>
          <w:t>Figure 4. Breakdown of DHS Non-Tiered Data Centers</w:t>
        </w:r>
        <w:r w:rsidR="00C63078">
          <w:rPr>
            <w:noProof/>
            <w:webHidden/>
          </w:rPr>
          <w:tab/>
        </w:r>
        <w:r w:rsidR="00C63078">
          <w:rPr>
            <w:noProof/>
            <w:webHidden/>
          </w:rPr>
          <w:fldChar w:fldCharType="begin"/>
        </w:r>
        <w:r w:rsidR="00C63078">
          <w:rPr>
            <w:noProof/>
            <w:webHidden/>
          </w:rPr>
          <w:instrText xml:space="preserve"> PAGEREF _Toc475635604 \h </w:instrText>
        </w:r>
        <w:r w:rsidR="00C63078">
          <w:rPr>
            <w:noProof/>
            <w:webHidden/>
          </w:rPr>
        </w:r>
        <w:r w:rsidR="00C63078">
          <w:rPr>
            <w:noProof/>
            <w:webHidden/>
          </w:rPr>
          <w:fldChar w:fldCharType="separate"/>
        </w:r>
        <w:r w:rsidR="00C63078">
          <w:rPr>
            <w:noProof/>
            <w:webHidden/>
          </w:rPr>
          <w:t>34</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5" w:history="1">
        <w:r w:rsidR="00C63078" w:rsidRPr="006C54D6">
          <w:rPr>
            <w:rStyle w:val="Hyperlink"/>
            <w:noProof/>
          </w:rPr>
          <w:t>Figure 5. Metering Status for DHS Agency-Owned Tiered Data Centers</w:t>
        </w:r>
        <w:r w:rsidR="00C63078">
          <w:rPr>
            <w:noProof/>
            <w:webHidden/>
          </w:rPr>
          <w:tab/>
        </w:r>
        <w:r w:rsidR="00C63078">
          <w:rPr>
            <w:noProof/>
            <w:webHidden/>
          </w:rPr>
          <w:fldChar w:fldCharType="begin"/>
        </w:r>
        <w:r w:rsidR="00C63078">
          <w:rPr>
            <w:noProof/>
            <w:webHidden/>
          </w:rPr>
          <w:instrText xml:space="preserve"> PAGEREF _Toc475635605 \h </w:instrText>
        </w:r>
        <w:r w:rsidR="00C63078">
          <w:rPr>
            <w:noProof/>
            <w:webHidden/>
          </w:rPr>
        </w:r>
        <w:r w:rsidR="00C63078">
          <w:rPr>
            <w:noProof/>
            <w:webHidden/>
          </w:rPr>
          <w:fldChar w:fldCharType="separate"/>
        </w:r>
        <w:r w:rsidR="00C63078">
          <w:rPr>
            <w:noProof/>
            <w:webHidden/>
          </w:rPr>
          <w:t>36</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6" w:history="1">
        <w:r w:rsidR="00C63078" w:rsidRPr="006C54D6">
          <w:rPr>
            <w:rStyle w:val="Hyperlink"/>
            <w:noProof/>
          </w:rPr>
          <w:t>Figure 6. Component Reported Metering Performance</w:t>
        </w:r>
        <w:r w:rsidR="00C63078">
          <w:rPr>
            <w:noProof/>
            <w:webHidden/>
          </w:rPr>
          <w:tab/>
        </w:r>
        <w:r w:rsidR="00C63078">
          <w:rPr>
            <w:noProof/>
            <w:webHidden/>
          </w:rPr>
          <w:fldChar w:fldCharType="begin"/>
        </w:r>
        <w:r w:rsidR="00C63078">
          <w:rPr>
            <w:noProof/>
            <w:webHidden/>
          </w:rPr>
          <w:instrText xml:space="preserve"> PAGEREF _Toc475635606 \h </w:instrText>
        </w:r>
        <w:r w:rsidR="00C63078">
          <w:rPr>
            <w:noProof/>
            <w:webHidden/>
          </w:rPr>
        </w:r>
        <w:r w:rsidR="00C63078">
          <w:rPr>
            <w:noProof/>
            <w:webHidden/>
          </w:rPr>
          <w:fldChar w:fldCharType="separate"/>
        </w:r>
        <w:r w:rsidR="00C63078">
          <w:rPr>
            <w:noProof/>
            <w:webHidden/>
          </w:rPr>
          <w:t>36</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7" w:history="1">
        <w:r w:rsidR="00C63078" w:rsidRPr="006C54D6">
          <w:rPr>
            <w:rStyle w:val="Hyperlink"/>
            <w:noProof/>
          </w:rPr>
          <w:t>Figure 7. Component Reported PUE Performance</w:t>
        </w:r>
        <w:r w:rsidR="00C63078">
          <w:rPr>
            <w:noProof/>
            <w:webHidden/>
          </w:rPr>
          <w:tab/>
        </w:r>
        <w:r w:rsidR="00C63078">
          <w:rPr>
            <w:noProof/>
            <w:webHidden/>
          </w:rPr>
          <w:fldChar w:fldCharType="begin"/>
        </w:r>
        <w:r w:rsidR="00C63078">
          <w:rPr>
            <w:noProof/>
            <w:webHidden/>
          </w:rPr>
          <w:instrText xml:space="preserve"> PAGEREF _Toc475635607 \h </w:instrText>
        </w:r>
        <w:r w:rsidR="00C63078">
          <w:rPr>
            <w:noProof/>
            <w:webHidden/>
          </w:rPr>
        </w:r>
        <w:r w:rsidR="00C63078">
          <w:rPr>
            <w:noProof/>
            <w:webHidden/>
          </w:rPr>
          <w:fldChar w:fldCharType="separate"/>
        </w:r>
        <w:r w:rsidR="00C63078">
          <w:rPr>
            <w:noProof/>
            <w:webHidden/>
          </w:rPr>
          <w:t>37</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8" w:history="1">
        <w:r w:rsidR="00C63078" w:rsidRPr="006C54D6">
          <w:rPr>
            <w:rStyle w:val="Hyperlink"/>
            <w:noProof/>
          </w:rPr>
          <w:t>Figure 8. Component Reported Virtualization Performance</w:t>
        </w:r>
        <w:r w:rsidR="00C63078">
          <w:rPr>
            <w:noProof/>
            <w:webHidden/>
          </w:rPr>
          <w:tab/>
        </w:r>
        <w:r w:rsidR="00C63078">
          <w:rPr>
            <w:noProof/>
            <w:webHidden/>
          </w:rPr>
          <w:fldChar w:fldCharType="begin"/>
        </w:r>
        <w:r w:rsidR="00C63078">
          <w:rPr>
            <w:noProof/>
            <w:webHidden/>
          </w:rPr>
          <w:instrText xml:space="preserve"> PAGEREF _Toc475635608 \h </w:instrText>
        </w:r>
        <w:r w:rsidR="00C63078">
          <w:rPr>
            <w:noProof/>
            <w:webHidden/>
          </w:rPr>
        </w:r>
        <w:r w:rsidR="00C63078">
          <w:rPr>
            <w:noProof/>
            <w:webHidden/>
          </w:rPr>
          <w:fldChar w:fldCharType="separate"/>
        </w:r>
        <w:r w:rsidR="00C63078">
          <w:rPr>
            <w:noProof/>
            <w:webHidden/>
          </w:rPr>
          <w:t>38</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09" w:history="1">
        <w:r w:rsidR="00C63078" w:rsidRPr="006C54D6">
          <w:rPr>
            <w:rStyle w:val="Hyperlink"/>
            <w:noProof/>
          </w:rPr>
          <w:t>Figure 9. Component Reported Server Utilization Performance</w:t>
        </w:r>
        <w:r w:rsidR="00C63078">
          <w:rPr>
            <w:noProof/>
            <w:webHidden/>
          </w:rPr>
          <w:tab/>
        </w:r>
        <w:r w:rsidR="00C63078">
          <w:rPr>
            <w:noProof/>
            <w:webHidden/>
          </w:rPr>
          <w:fldChar w:fldCharType="begin"/>
        </w:r>
        <w:r w:rsidR="00C63078">
          <w:rPr>
            <w:noProof/>
            <w:webHidden/>
          </w:rPr>
          <w:instrText xml:space="preserve"> PAGEREF _Toc475635609 \h </w:instrText>
        </w:r>
        <w:r w:rsidR="00C63078">
          <w:rPr>
            <w:noProof/>
            <w:webHidden/>
          </w:rPr>
        </w:r>
        <w:r w:rsidR="00C63078">
          <w:rPr>
            <w:noProof/>
            <w:webHidden/>
          </w:rPr>
          <w:fldChar w:fldCharType="separate"/>
        </w:r>
        <w:r w:rsidR="00C63078">
          <w:rPr>
            <w:noProof/>
            <w:webHidden/>
          </w:rPr>
          <w:t>39</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10" w:history="1">
        <w:r w:rsidR="00C63078" w:rsidRPr="006C54D6">
          <w:rPr>
            <w:rStyle w:val="Hyperlink"/>
            <w:noProof/>
          </w:rPr>
          <w:t>Figure 10. Component Reported Facility Utilization Performance</w:t>
        </w:r>
        <w:r w:rsidR="00C63078">
          <w:rPr>
            <w:noProof/>
            <w:webHidden/>
          </w:rPr>
          <w:tab/>
        </w:r>
        <w:r w:rsidR="00C63078">
          <w:rPr>
            <w:noProof/>
            <w:webHidden/>
          </w:rPr>
          <w:fldChar w:fldCharType="begin"/>
        </w:r>
        <w:r w:rsidR="00C63078">
          <w:rPr>
            <w:noProof/>
            <w:webHidden/>
          </w:rPr>
          <w:instrText xml:space="preserve"> PAGEREF _Toc475635610 \h </w:instrText>
        </w:r>
        <w:r w:rsidR="00C63078">
          <w:rPr>
            <w:noProof/>
            <w:webHidden/>
          </w:rPr>
        </w:r>
        <w:r w:rsidR="00C63078">
          <w:rPr>
            <w:noProof/>
            <w:webHidden/>
          </w:rPr>
          <w:fldChar w:fldCharType="separate"/>
        </w:r>
        <w:r w:rsidR="00C63078">
          <w:rPr>
            <w:noProof/>
            <w:webHidden/>
          </w:rPr>
          <w:t>40</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11" w:history="1">
        <w:r w:rsidR="00C63078" w:rsidRPr="006C54D6">
          <w:rPr>
            <w:rStyle w:val="Hyperlink"/>
            <w:noProof/>
          </w:rPr>
          <w:t>Figure 11. Data Centers Considering Enterprise and Provisioned Computing Solutions</w:t>
        </w:r>
        <w:r w:rsidR="00C63078">
          <w:rPr>
            <w:noProof/>
            <w:webHidden/>
          </w:rPr>
          <w:tab/>
        </w:r>
        <w:r w:rsidR="00C63078">
          <w:rPr>
            <w:noProof/>
            <w:webHidden/>
          </w:rPr>
          <w:fldChar w:fldCharType="begin"/>
        </w:r>
        <w:r w:rsidR="00C63078">
          <w:rPr>
            <w:noProof/>
            <w:webHidden/>
          </w:rPr>
          <w:instrText xml:space="preserve"> PAGEREF _Toc475635611 \h </w:instrText>
        </w:r>
        <w:r w:rsidR="00C63078">
          <w:rPr>
            <w:noProof/>
            <w:webHidden/>
          </w:rPr>
        </w:r>
        <w:r w:rsidR="00C63078">
          <w:rPr>
            <w:noProof/>
            <w:webHidden/>
          </w:rPr>
          <w:fldChar w:fldCharType="separate"/>
        </w:r>
        <w:r w:rsidR="00C63078">
          <w:rPr>
            <w:noProof/>
            <w:webHidden/>
          </w:rPr>
          <w:t>41</w:t>
        </w:r>
        <w:r w:rsidR="00C63078">
          <w:rPr>
            <w:noProof/>
            <w:webHidden/>
          </w:rPr>
          <w:fldChar w:fldCharType="end"/>
        </w:r>
      </w:hyperlink>
    </w:p>
    <w:p w:rsidR="00C63078" w:rsidRDefault="00CB04D7">
      <w:pPr>
        <w:pStyle w:val="TableofFigures"/>
        <w:rPr>
          <w:rFonts w:asciiTheme="minorHAnsi" w:eastAsiaTheme="minorEastAsia" w:hAnsiTheme="minorHAnsi" w:cstheme="minorBidi"/>
          <w:noProof/>
          <w:sz w:val="22"/>
          <w:szCs w:val="22"/>
        </w:rPr>
      </w:pPr>
      <w:hyperlink w:anchor="_Toc475635612" w:history="1">
        <w:r w:rsidR="00C63078" w:rsidRPr="006C54D6">
          <w:rPr>
            <w:rStyle w:val="Hyperlink"/>
            <w:noProof/>
          </w:rPr>
          <w:t>Figure 12. FY2016 - FY2018 DCOI Savings and Avoidance</w:t>
        </w:r>
        <w:r w:rsidR="00C63078">
          <w:rPr>
            <w:noProof/>
            <w:webHidden/>
          </w:rPr>
          <w:tab/>
        </w:r>
        <w:r w:rsidR="00C63078">
          <w:rPr>
            <w:noProof/>
            <w:webHidden/>
          </w:rPr>
          <w:fldChar w:fldCharType="begin"/>
        </w:r>
        <w:r w:rsidR="00C63078">
          <w:rPr>
            <w:noProof/>
            <w:webHidden/>
          </w:rPr>
          <w:instrText xml:space="preserve"> PAGEREF _Toc475635612 \h </w:instrText>
        </w:r>
        <w:r w:rsidR="00C63078">
          <w:rPr>
            <w:noProof/>
            <w:webHidden/>
          </w:rPr>
        </w:r>
        <w:r w:rsidR="00C63078">
          <w:rPr>
            <w:noProof/>
            <w:webHidden/>
          </w:rPr>
          <w:fldChar w:fldCharType="separate"/>
        </w:r>
        <w:r w:rsidR="00C63078">
          <w:rPr>
            <w:noProof/>
            <w:webHidden/>
          </w:rPr>
          <w:t>43</w:t>
        </w:r>
        <w:r w:rsidR="00C63078">
          <w:rPr>
            <w:noProof/>
            <w:webHidden/>
          </w:rPr>
          <w:fldChar w:fldCharType="end"/>
        </w:r>
      </w:hyperlink>
    </w:p>
    <w:p w:rsidR="004178C3" w:rsidRDefault="004178C3">
      <w:pPr>
        <w:spacing w:after="0"/>
        <w:rPr>
          <w:b/>
          <w:bCs/>
          <w:noProof/>
        </w:rPr>
      </w:pPr>
      <w:r>
        <w:rPr>
          <w:b/>
          <w:bCs/>
          <w:noProof/>
        </w:rPr>
        <w:fldChar w:fldCharType="end"/>
      </w:r>
      <w:r>
        <w:rPr>
          <w:b/>
          <w:bCs/>
          <w:noProof/>
        </w:rPr>
        <w:br w:type="page"/>
      </w:r>
    </w:p>
    <w:p w:rsidR="00DE15BC" w:rsidRPr="00E04ABD" w:rsidRDefault="00DE15BC" w:rsidP="00E912B6">
      <w:pPr>
        <w:pStyle w:val="Heading1"/>
        <w:rPr>
          <w:szCs w:val="36"/>
        </w:rPr>
      </w:pPr>
      <w:bookmarkStart w:id="0" w:name="_Toc447359161"/>
      <w:bookmarkStart w:id="1" w:name="_Toc475636825"/>
      <w:r w:rsidRPr="00E04ABD">
        <w:rPr>
          <w:szCs w:val="36"/>
        </w:rPr>
        <w:lastRenderedPageBreak/>
        <w:t>Message from the Chief Information Officer</w:t>
      </w:r>
      <w:bookmarkEnd w:id="0"/>
      <w:bookmarkEnd w:id="1"/>
    </w:p>
    <w:p w:rsidR="006028F5" w:rsidRDefault="00DE15BC" w:rsidP="006028F5">
      <w:r w:rsidRPr="00E04ABD">
        <w:t>The Depart</w:t>
      </w:r>
      <w:r w:rsidR="0047486B" w:rsidRPr="00E04ABD">
        <w:t xml:space="preserve">ment of Homeland Security (DHS) Data Center Optimization Implementation (DCOI) </w:t>
      </w:r>
      <w:r w:rsidR="00284213" w:rsidRPr="00E04ABD">
        <w:t xml:space="preserve">Enterprise Computing Services (ECS) </w:t>
      </w:r>
      <w:r w:rsidR="0047486B" w:rsidRPr="00E04ABD">
        <w:t>Strategic Plan</w:t>
      </w:r>
      <w:r w:rsidR="006028F5" w:rsidRPr="00E04ABD">
        <w:t xml:space="preserve"> identif</w:t>
      </w:r>
      <w:r w:rsidR="00F254DD" w:rsidRPr="00E04ABD">
        <w:t>ies</w:t>
      </w:r>
      <w:r w:rsidR="006028F5" w:rsidRPr="00E04ABD">
        <w:t xml:space="preserve"> the most effective ways for the department to capitalize on opportunities and benefits</w:t>
      </w:r>
      <w:r w:rsidR="009030F9" w:rsidRPr="00E04ABD">
        <w:t xml:space="preserve"> of Enterprise Computing Services (ECS)</w:t>
      </w:r>
      <w:r w:rsidR="00FC3824" w:rsidRPr="00E04ABD">
        <w:t xml:space="preserve"> </w:t>
      </w:r>
      <w:r w:rsidR="006028F5" w:rsidRPr="00E04ABD">
        <w:t>t</w:t>
      </w:r>
      <w:r w:rsidR="00F254DD" w:rsidRPr="00E04ABD">
        <w:t>o</w:t>
      </w:r>
      <w:r w:rsidR="006028F5" w:rsidRPr="00E04ABD">
        <w:t xml:space="preserve"> accelerate IT delivery, efficiency, and innovation a</w:t>
      </w:r>
      <w:r w:rsidR="00F254DD" w:rsidRPr="00E04ABD">
        <w:t>cros</w:t>
      </w:r>
      <w:r w:rsidR="006028F5" w:rsidRPr="00E04ABD">
        <w:t xml:space="preserve">s </w:t>
      </w:r>
      <w:r w:rsidR="00F254DD" w:rsidRPr="00E04ABD">
        <w:t>the DHS</w:t>
      </w:r>
      <w:r w:rsidR="006028F5" w:rsidRPr="00E04ABD">
        <w:t xml:space="preserve"> enterprise.  This strategic plan </w:t>
      </w:r>
      <w:r w:rsidR="00955E0E" w:rsidRPr="00E04ABD">
        <w:t>is provided in accordance with FITARA</w:t>
      </w:r>
      <w:r w:rsidR="00955E0E" w:rsidRPr="00E04ABD">
        <w:rPr>
          <w:rStyle w:val="FootnoteReference"/>
        </w:rPr>
        <w:footnoteReference w:id="2"/>
      </w:r>
      <w:r w:rsidR="00955E0E" w:rsidRPr="00E04ABD">
        <w:t xml:space="preserve"> </w:t>
      </w:r>
      <w:r w:rsidR="001A0EFE" w:rsidRPr="00E04ABD">
        <w:t xml:space="preserve">and OMB Memorandum </w:t>
      </w:r>
      <w:r w:rsidR="00F70DD7" w:rsidRPr="00E04ABD">
        <w:t>M-16-19</w:t>
      </w:r>
      <w:r w:rsidR="00F70DD7" w:rsidRPr="00E04ABD">
        <w:rPr>
          <w:rStyle w:val="FootnoteReference"/>
        </w:rPr>
        <w:footnoteReference w:id="3"/>
      </w:r>
      <w:r w:rsidR="00F70DD7" w:rsidRPr="00E04ABD">
        <w:t xml:space="preserve"> </w:t>
      </w:r>
      <w:r w:rsidR="001A0EFE" w:rsidRPr="00E04ABD">
        <w:t xml:space="preserve">as the first of </w:t>
      </w:r>
      <w:r w:rsidR="007E397F" w:rsidRPr="00E04ABD">
        <w:t xml:space="preserve">three </w:t>
      </w:r>
      <w:r w:rsidR="001A0EFE" w:rsidRPr="00E04ABD">
        <w:t xml:space="preserve">DHS’ annual updates </w:t>
      </w:r>
      <w:r w:rsidR="00955E0E" w:rsidRPr="00E04ABD">
        <w:t>describing data center consolidation and optimization strategy for fiscal years 2016, 2017, and 2018.</w:t>
      </w:r>
      <w:r w:rsidR="00955E0E">
        <w:t xml:space="preserve">  This FY 2016 issuance of the DHS ECS strategy </w:t>
      </w:r>
      <w:r w:rsidR="006028F5">
        <w:t xml:space="preserve">aligns to, and enables the goals and objectives outlined the </w:t>
      </w:r>
      <w:r w:rsidR="00794612">
        <w:t>DHS IT Strategic Plan 2015-2018 as well as FITARA objectives for IT reform.</w:t>
      </w:r>
    </w:p>
    <w:p w:rsidR="009C126A" w:rsidRDefault="0047486B" w:rsidP="00240F99">
      <w:r>
        <w:t>The DHS Enterprise Computing Services (ECS) concept of converged infrastructure is the next generation of DHS enterprise data center</w:t>
      </w:r>
      <w:r w:rsidR="0072477B" w:rsidRPr="00DE15BC">
        <w:t xml:space="preserve"> </w:t>
      </w:r>
      <w:r w:rsidR="00D17108">
        <w:t xml:space="preserve">services </w:t>
      </w:r>
      <w:r>
        <w:t xml:space="preserve">and </w:t>
      </w:r>
      <w:r w:rsidR="0072477B" w:rsidRPr="00DE15BC">
        <w:t>represent</w:t>
      </w:r>
      <w:r>
        <w:t>s</w:t>
      </w:r>
      <w:r w:rsidR="00DE15BC" w:rsidRPr="00DE15BC">
        <w:t xml:space="preserve"> </w:t>
      </w:r>
      <w:r w:rsidR="006028F5">
        <w:t xml:space="preserve">a key change opportunity </w:t>
      </w:r>
      <w:r w:rsidR="00A4494B" w:rsidRPr="00BD6CE2">
        <w:t xml:space="preserve">in the way that </w:t>
      </w:r>
      <w:r w:rsidR="00DE15BC" w:rsidRPr="00DE15BC">
        <w:t xml:space="preserve">government thinks about and leverages IT </w:t>
      </w:r>
      <w:r w:rsidR="00A4494B" w:rsidRPr="00BD6CE2">
        <w:t xml:space="preserve">to support </w:t>
      </w:r>
      <w:r w:rsidR="00DE15BC" w:rsidRPr="00DE15BC">
        <w:t xml:space="preserve">daily </w:t>
      </w:r>
      <w:r w:rsidR="00481AA9">
        <w:t xml:space="preserve">mission and business </w:t>
      </w:r>
      <w:r w:rsidR="00DE15BC" w:rsidRPr="00DE15BC">
        <w:t>operations</w:t>
      </w:r>
      <w:r w:rsidR="00AE0D56">
        <w:t xml:space="preserve"> as well as manages its acquisitions and p</w:t>
      </w:r>
      <w:r>
        <w:t xml:space="preserve">rocurement processes to optimize data center </w:t>
      </w:r>
      <w:r w:rsidR="00AE0D56">
        <w:t>capabilities and resources</w:t>
      </w:r>
      <w:r w:rsidR="00FE3320">
        <w:t>.</w:t>
      </w:r>
      <w:r w:rsidR="0083621B" w:rsidRPr="00BD6CE2">
        <w:t xml:space="preserve"> </w:t>
      </w:r>
      <w:r w:rsidR="00DE2C49">
        <w:t>Adoption and</w:t>
      </w:r>
      <w:r>
        <w:t xml:space="preserve"> implementation of multi-provider and commercially provisioned </w:t>
      </w:r>
      <w:r w:rsidR="00DE2C49">
        <w:t>services are being rapidly accelerated with the maturing of Federal Cloud Co</w:t>
      </w:r>
      <w:r w:rsidR="00423FB7">
        <w:t>mpu</w:t>
      </w:r>
      <w:r w:rsidR="00584A0F">
        <w:t xml:space="preserve">ting Initiative, </w:t>
      </w:r>
      <w:r w:rsidR="00423FB7">
        <w:t>the Federal Risk and Authorization Management Program (</w:t>
      </w:r>
      <w:proofErr w:type="spellStart"/>
      <w:r w:rsidR="00423FB7">
        <w:t>FedRAMP</w:t>
      </w:r>
      <w:proofErr w:type="spellEnd"/>
      <w:r w:rsidR="00423FB7">
        <w:t>)</w:t>
      </w:r>
      <w:r w:rsidR="00584A0F">
        <w:t>,</w:t>
      </w:r>
      <w:r w:rsidR="00794612">
        <w:t xml:space="preserve"> </w:t>
      </w:r>
      <w:r w:rsidR="00423FB7">
        <w:t>the recent mandates including the Federal Information Technology Reform Act (FITARA)</w:t>
      </w:r>
      <w:r w:rsidR="00794612">
        <w:t>,</w:t>
      </w:r>
      <w:r w:rsidR="00423FB7">
        <w:t xml:space="preserve"> and the Data Center Optimization Initiative (DCOI).</w:t>
      </w:r>
      <w:r w:rsidR="00FC3824">
        <w:t xml:space="preserve">  </w:t>
      </w:r>
      <w:r w:rsidR="00CA4257">
        <w:t>Therefore</w:t>
      </w:r>
      <w:r>
        <w:t>, our DH</w:t>
      </w:r>
      <w:r w:rsidR="00361E2C">
        <w:t>S ECS s</w:t>
      </w:r>
      <w:r>
        <w:t>trategy goes beyond the DHS private cloud to also encompass</w:t>
      </w:r>
      <w:r w:rsidR="00CA4257">
        <w:t xml:space="preserve"> use of </w:t>
      </w:r>
      <w:r>
        <w:t xml:space="preserve">multi-provider and </w:t>
      </w:r>
      <w:r w:rsidR="00CA4257">
        <w:t>commercial</w:t>
      </w:r>
      <w:r w:rsidR="009030F9">
        <w:t>ly</w:t>
      </w:r>
      <w:r w:rsidR="00CA4257">
        <w:t xml:space="preserve"> </w:t>
      </w:r>
      <w:r>
        <w:t>provisioned computing</w:t>
      </w:r>
      <w:r w:rsidR="00CA4257">
        <w:t xml:space="preserve"> services in the department’s</w:t>
      </w:r>
      <w:r>
        <w:t xml:space="preserve"> enterprise computing</w:t>
      </w:r>
      <w:r w:rsidR="00CA4257">
        <w:t xml:space="preserve"> environment</w:t>
      </w:r>
      <w:r w:rsidR="0083621B" w:rsidRPr="00BD6CE2">
        <w:t xml:space="preserve"> </w:t>
      </w:r>
      <w:r w:rsidR="004F2254">
        <w:t xml:space="preserve">through the execution of </w:t>
      </w:r>
      <w:r w:rsidR="00EB5774">
        <w:t>an</w:t>
      </w:r>
      <w:r w:rsidR="004F2254">
        <w:t xml:space="preserve"> “Open Market” strategy via the Enterprise Computing Services (ECS)</w:t>
      </w:r>
      <w:r w:rsidR="0083621B" w:rsidRPr="00BD6CE2">
        <w:t xml:space="preserve">. Adoption and implementation of </w:t>
      </w:r>
      <w:r>
        <w:t>enterprise computing options</w:t>
      </w:r>
      <w:r w:rsidR="0083621B" w:rsidRPr="00BD6CE2">
        <w:t xml:space="preserve"> </w:t>
      </w:r>
      <w:r w:rsidR="00240F99">
        <w:t>will</w:t>
      </w:r>
      <w:r w:rsidR="00FE3320">
        <w:t xml:space="preserve"> </w:t>
      </w:r>
      <w:r w:rsidR="0022445F" w:rsidRPr="00BD6CE2">
        <w:t>provide DHS with alternatives to</w:t>
      </w:r>
      <w:r w:rsidR="00EB5774">
        <w:t xml:space="preserve"> increase secure information sharing and collaboration, enhance mission effectiveness, and </w:t>
      </w:r>
      <w:r w:rsidR="0022445F" w:rsidRPr="00BD6CE2">
        <w:t xml:space="preserve">reduce </w:t>
      </w:r>
      <w:r w:rsidR="00FE3320">
        <w:t>total cost of</w:t>
      </w:r>
      <w:r w:rsidR="00FE3320" w:rsidRPr="00BD6CE2">
        <w:t xml:space="preserve"> </w:t>
      </w:r>
      <w:r w:rsidR="00EB5774">
        <w:t xml:space="preserve">Information Technology </w:t>
      </w:r>
      <w:r w:rsidR="0022445F" w:rsidRPr="00BD6CE2">
        <w:t>ownership, operation and sustainment.</w:t>
      </w:r>
    </w:p>
    <w:p w:rsidR="009C126A" w:rsidRDefault="0022445F" w:rsidP="00240F99">
      <w:r w:rsidRPr="00E04ABD">
        <w:lastRenderedPageBreak/>
        <w:t>I</w:t>
      </w:r>
      <w:r w:rsidR="00A3643B" w:rsidRPr="00E04ABD">
        <w:t>n keeping with our DHS commitment to manage all data center infrastructure and services, including contracts for third-party data centers and services DHS-wide in a manner consistent with FITARA</w:t>
      </w:r>
      <w:r w:rsidR="009C126A" w:rsidRPr="00E04ABD">
        <w:rPr>
          <w:rStyle w:val="FootnoteReference"/>
        </w:rPr>
        <w:footnoteReference w:id="4"/>
      </w:r>
      <w:r w:rsidR="00A3643B" w:rsidRPr="00E04ABD">
        <w:t xml:space="preserve"> and OMB Memorandum M-15-14, “Management and Oversight of Information Technology,”</w:t>
      </w:r>
      <w:r w:rsidR="009C126A" w:rsidRPr="00E04ABD">
        <w:rPr>
          <w:rStyle w:val="FootnoteReference"/>
        </w:rPr>
        <w:footnoteReference w:id="5"/>
      </w:r>
      <w:r w:rsidR="00A3643B" w:rsidRPr="00E04ABD">
        <w:t xml:space="preserve"> the DHS CIO will exercise </w:t>
      </w:r>
      <w:r w:rsidR="009C126A" w:rsidRPr="00E04ABD">
        <w:t>authority and responsibility for implementing and measuring progress toward the achievement of DCOI goals set forth in OMB Memorandum M-16-19, “Data Center Optimization Initiative (DCOI).”</w:t>
      </w:r>
      <w:r w:rsidR="009C126A" w:rsidRPr="00E04ABD">
        <w:rPr>
          <w:rStyle w:val="FootnoteReference"/>
        </w:rPr>
        <w:footnoteReference w:id="6"/>
      </w:r>
      <w:r w:rsidR="002D599F" w:rsidRPr="00E04ABD">
        <w:t xml:space="preserve"> In addition, DHS has and will continue to comply with all reporting requirements, explanations and statements required by </w:t>
      </w:r>
      <w:r w:rsidR="00F70DD7" w:rsidRPr="00E04ABD">
        <w:t xml:space="preserve">OMB Memorandum </w:t>
      </w:r>
      <w:r w:rsidR="002D599F" w:rsidRPr="00E04ABD">
        <w:t>M-16-19 and the data center requirements of FITARA.</w:t>
      </w:r>
      <w:r w:rsidR="002D599F" w:rsidRPr="00E04ABD">
        <w:rPr>
          <w:rStyle w:val="FootnoteReference"/>
        </w:rPr>
        <w:footnoteReference w:id="7"/>
      </w:r>
    </w:p>
    <w:p w:rsidR="00AE0D56" w:rsidRDefault="009C126A" w:rsidP="00240F99">
      <w:r>
        <w:t xml:space="preserve">We </w:t>
      </w:r>
      <w:r w:rsidR="0022445F" w:rsidRPr="00DE15BC">
        <w:t xml:space="preserve">look forward to working through the ambitious goals and objectives </w:t>
      </w:r>
      <w:r w:rsidR="00C92A51">
        <w:t>described</w:t>
      </w:r>
      <w:r w:rsidR="0022445F" w:rsidRPr="00DE15BC">
        <w:t xml:space="preserve"> in this strateg</w:t>
      </w:r>
      <w:r w:rsidR="00C92A51">
        <w:t>y</w:t>
      </w:r>
      <w:r w:rsidR="0022445F" w:rsidRPr="00DE15BC">
        <w:t>, especially the opportunity to modernize and improve the way in which the private and public sectors partner</w:t>
      </w:r>
      <w:r w:rsidR="00AE0D56">
        <w:t>s</w:t>
      </w:r>
      <w:r w:rsidR="0022445F" w:rsidRPr="00DE15BC">
        <w:t xml:space="preserve"> </w:t>
      </w:r>
      <w:r w:rsidR="00EB5774">
        <w:t xml:space="preserve">will </w:t>
      </w:r>
      <w:r w:rsidR="002D599F">
        <w:t>leverage DHS ECS</w:t>
      </w:r>
      <w:r w:rsidR="00EB5774">
        <w:t xml:space="preserve"> to </w:t>
      </w:r>
      <w:r w:rsidR="0022445F" w:rsidRPr="00DE15BC">
        <w:t xml:space="preserve">provide goods and services. </w:t>
      </w:r>
    </w:p>
    <w:p w:rsidR="0022445F" w:rsidRPr="00BD6CE2" w:rsidRDefault="0022445F" w:rsidP="00240F99">
      <w:r w:rsidRPr="00BD6CE2">
        <w:t>We will continuously see</w:t>
      </w:r>
      <w:r w:rsidR="002D599F">
        <w:t>k to refine and mature the DHS ECS</w:t>
      </w:r>
      <w:r w:rsidRPr="00BD6CE2">
        <w:t xml:space="preserve"> approach and maintain open communications with</w:t>
      </w:r>
      <w:r w:rsidR="004F2254">
        <w:t>in</w:t>
      </w:r>
      <w:r w:rsidRPr="00BD6CE2">
        <w:t xml:space="preserve"> all levels of the Department, other Federal Agencies and our Industry partners. </w:t>
      </w:r>
      <w:r w:rsidR="00DE2C49">
        <w:t xml:space="preserve"> Active participation and commitment of all DHS Components is critical to ensure consistency, optimize benefits</w:t>
      </w:r>
      <w:r w:rsidR="00EB5774">
        <w:t>,</w:t>
      </w:r>
      <w:r w:rsidR="00DE2C49">
        <w:t xml:space="preserve"> and achieve the goal of this strategy.</w:t>
      </w:r>
    </w:p>
    <w:p w:rsidR="004F2254" w:rsidRDefault="004F2254">
      <w:pPr>
        <w:spacing w:after="0"/>
        <w:rPr>
          <w:b/>
          <w:sz w:val="36"/>
        </w:rPr>
      </w:pPr>
      <w:bookmarkStart w:id="2" w:name="_Toc447359162"/>
      <w:r>
        <w:br w:type="page"/>
      </w:r>
    </w:p>
    <w:p w:rsidR="0022445F" w:rsidRDefault="0022445F" w:rsidP="00E37F85">
      <w:pPr>
        <w:pStyle w:val="Heading1"/>
      </w:pPr>
      <w:bookmarkStart w:id="3" w:name="_Toc475636826"/>
      <w:r>
        <w:lastRenderedPageBreak/>
        <w:t>Executive Summary</w:t>
      </w:r>
      <w:bookmarkEnd w:id="2"/>
      <w:bookmarkEnd w:id="3"/>
    </w:p>
    <w:p w:rsidR="00BD6CE2" w:rsidRPr="00BD6CE2" w:rsidRDefault="00B07458" w:rsidP="00B344CF">
      <w:r w:rsidRPr="00BD6CE2">
        <w:t xml:space="preserve">The </w:t>
      </w:r>
      <w:r w:rsidR="0047486B">
        <w:t xml:space="preserve">DHS </w:t>
      </w:r>
      <w:r w:rsidR="00284213">
        <w:t>ECS</w:t>
      </w:r>
      <w:r w:rsidR="0047486B">
        <w:t xml:space="preserve"> Optimization Strategy</w:t>
      </w:r>
      <w:r w:rsidR="00284213">
        <w:t xml:space="preserve"> implements DCOI and</w:t>
      </w:r>
      <w:r w:rsidR="00C92A51">
        <w:t xml:space="preserve"> </w:t>
      </w:r>
      <w:r w:rsidRPr="00BD6CE2">
        <w:t xml:space="preserve">establishes and communicates the Department’s vision and </w:t>
      </w:r>
      <w:r w:rsidR="00FE3320">
        <w:t>approach</w:t>
      </w:r>
      <w:r w:rsidR="00FE3320" w:rsidRPr="00BD6CE2">
        <w:t xml:space="preserve"> </w:t>
      </w:r>
      <w:r w:rsidR="00507DBB">
        <w:t xml:space="preserve">for delivering a wide variety of enterprise computing </w:t>
      </w:r>
      <w:r w:rsidRPr="00BD6CE2">
        <w:t>capabilities to improve mission and business effectiveness, increase operational</w:t>
      </w:r>
      <w:r w:rsidR="004F2254">
        <w:t xml:space="preserve"> </w:t>
      </w:r>
      <w:r w:rsidRPr="00BD6CE2">
        <w:t>IT</w:t>
      </w:r>
      <w:r w:rsidR="004F2254">
        <w:t xml:space="preserve"> </w:t>
      </w:r>
      <w:r w:rsidRPr="00BD6CE2">
        <w:t xml:space="preserve">efficiencies </w:t>
      </w:r>
      <w:r w:rsidR="0088086F">
        <w:t>while</w:t>
      </w:r>
      <w:r w:rsidRPr="00BD6CE2">
        <w:t xml:space="preserve"> protect</w:t>
      </w:r>
      <w:r w:rsidR="0088086F">
        <w:t>ing</w:t>
      </w:r>
      <w:r w:rsidRPr="00BD6CE2">
        <w:t xml:space="preserve"> DHS data and infrastructure.</w:t>
      </w:r>
      <w:r w:rsidR="00BD6CE2" w:rsidRPr="00BD6CE2">
        <w:t xml:space="preserve">  In the current political, economic, and technological landscape, IT is expected to provide extensive and ever-increasing capabilities while </w:t>
      </w:r>
      <w:r w:rsidR="003F33D1">
        <w:t>consuming</w:t>
      </w:r>
      <w:r w:rsidR="004F2254">
        <w:t xml:space="preserve"> </w:t>
      </w:r>
      <w:r w:rsidR="00BD6CE2" w:rsidRPr="00BD6CE2">
        <w:t xml:space="preserve">fewer resources.  As a result, the Department must transform the way in which it acquires, operates, and </w:t>
      </w:r>
      <w:r w:rsidR="00B344CF">
        <w:t>delivers</w:t>
      </w:r>
      <w:r w:rsidR="00BD6CE2" w:rsidRPr="00BD6CE2">
        <w:t xml:space="preserve"> IT</w:t>
      </w:r>
      <w:r w:rsidR="00B344CF">
        <w:t xml:space="preserve"> capabilities </w:t>
      </w:r>
      <w:r w:rsidR="00BD6CE2" w:rsidRPr="00BD6CE2">
        <w:t>in order to realize increased efficiency, effectiveness, and security.</w:t>
      </w:r>
    </w:p>
    <w:p w:rsidR="00AF189F" w:rsidRDefault="00BD6CE2" w:rsidP="00B344CF">
      <w:r w:rsidRPr="00273E4E">
        <w:t xml:space="preserve">The Department has begun this transformation by establishing </w:t>
      </w:r>
      <w:r w:rsidR="00216504" w:rsidRPr="00273E4E">
        <w:t>various</w:t>
      </w:r>
      <w:r w:rsidRPr="00273E4E">
        <w:t xml:space="preserve"> initiatives that are aimed at achieving improved </w:t>
      </w:r>
      <w:r w:rsidR="00216504" w:rsidRPr="00273E4E">
        <w:t>efficiencies in IT service delivery</w:t>
      </w:r>
      <w:r w:rsidRPr="00273E4E">
        <w:t xml:space="preserve">. </w:t>
      </w:r>
      <w:r w:rsidR="00216504" w:rsidRPr="00273E4E">
        <w:t>One of these initiatives is the</w:t>
      </w:r>
      <w:r w:rsidRPr="00273E4E">
        <w:t xml:space="preserve"> </w:t>
      </w:r>
      <w:r w:rsidR="0012217E" w:rsidRPr="00273E4E">
        <w:t xml:space="preserve">DHS </w:t>
      </w:r>
      <w:r w:rsidRPr="00273E4E">
        <w:t xml:space="preserve">ECS. </w:t>
      </w:r>
      <w:r w:rsidR="008B6633">
        <w:t xml:space="preserve">The </w:t>
      </w:r>
      <w:r w:rsidR="00AF189F" w:rsidRPr="00AF189F">
        <w:t>D</w:t>
      </w:r>
      <w:r w:rsidR="00AF189F">
        <w:t>HS</w:t>
      </w:r>
      <w:r w:rsidR="00AF189F" w:rsidRPr="00AF189F">
        <w:t xml:space="preserve"> E</w:t>
      </w:r>
      <w:r w:rsidR="00AF189F">
        <w:t>CS</w:t>
      </w:r>
      <w:r w:rsidR="00AF189F" w:rsidRPr="00AF189F">
        <w:t xml:space="preserve"> is a key component to enable the Department to achieve </w:t>
      </w:r>
      <w:r w:rsidR="00507DBB">
        <w:t xml:space="preserve">DHS next generation </w:t>
      </w:r>
      <w:r w:rsidR="00273E4E">
        <w:t>c</w:t>
      </w:r>
      <w:r w:rsidR="00AF189F">
        <w:t xml:space="preserve">omputing </w:t>
      </w:r>
      <w:r w:rsidR="00273E4E">
        <w:t xml:space="preserve">service delivery </w:t>
      </w:r>
      <w:r w:rsidR="00AF189F" w:rsidRPr="00AF189F">
        <w:t xml:space="preserve">goals. </w:t>
      </w:r>
      <w:r w:rsidR="003A157A">
        <w:t xml:space="preserve">The DHS Chief Information Officer (CIO) is committed to accelerating the adoption of </w:t>
      </w:r>
      <w:r w:rsidR="0018071F">
        <w:t xml:space="preserve">next generation </w:t>
      </w:r>
      <w:r w:rsidR="003A157A">
        <w:t xml:space="preserve">computing </w:t>
      </w:r>
      <w:r w:rsidR="0018071F">
        <w:t xml:space="preserve">options </w:t>
      </w:r>
      <w:r w:rsidR="003A157A">
        <w:t xml:space="preserve">through the alignment with Department-wide efficiency initiatives such as Unity of Effort, </w:t>
      </w:r>
      <w:r w:rsidR="00284213">
        <w:t>OMB</w:t>
      </w:r>
      <w:r w:rsidR="006E1942">
        <w:t xml:space="preserve"> Data Center Optimization Initiative</w:t>
      </w:r>
      <w:r w:rsidR="003A157A">
        <w:t xml:space="preserve"> (DCOI), and Federal IT Acquisition Reform Act (FITARA). </w:t>
      </w:r>
    </w:p>
    <w:p w:rsidR="00E37F85" w:rsidRDefault="00E37F85" w:rsidP="00E37F85">
      <w:pPr>
        <w:pStyle w:val="Heading1"/>
      </w:pPr>
      <w:bookmarkStart w:id="4" w:name="_Toc447359163"/>
      <w:bookmarkStart w:id="5" w:name="_Toc475636827"/>
      <w:r>
        <w:t>Introduction</w:t>
      </w:r>
      <w:bookmarkEnd w:id="4"/>
      <w:r w:rsidR="00194E07">
        <w:t xml:space="preserve"> </w:t>
      </w:r>
      <w:r w:rsidR="0018071F" w:rsidRPr="00F30623">
        <w:rPr>
          <w:rStyle w:val="FootnoteReference"/>
        </w:rPr>
        <w:footnoteReference w:id="8"/>
      </w:r>
      <w:bookmarkEnd w:id="5"/>
    </w:p>
    <w:p w:rsidR="0018071F" w:rsidRPr="001F4F5C" w:rsidRDefault="008B6633" w:rsidP="0018071F">
      <w:pPr>
        <w:rPr>
          <w:szCs w:val="24"/>
        </w:rPr>
      </w:pPr>
      <w:r>
        <w:rPr>
          <w:szCs w:val="24"/>
        </w:rPr>
        <w:t xml:space="preserve">DHS </w:t>
      </w:r>
      <w:r w:rsidR="0018071F" w:rsidRPr="001F4F5C">
        <w:rPr>
          <w:szCs w:val="24"/>
        </w:rPr>
        <w:t>ECS represents both DHS’ next generation contract and business approach to achieving massively scalable processing because of the need to support more users who are accessing more applications and resources on a consumption basis.  DHS’</w:t>
      </w:r>
      <w:r w:rsidR="00BD1516">
        <w:rPr>
          <w:szCs w:val="24"/>
        </w:rPr>
        <w:t xml:space="preserve"> </w:t>
      </w:r>
      <w:r w:rsidR="0018071F" w:rsidRPr="001F4F5C">
        <w:rPr>
          <w:szCs w:val="24"/>
        </w:rPr>
        <w:t xml:space="preserve">approach to ECS will focus on the concept of converged infrastructure solutions to manage customer demand for more virtual technologies and more integration with cloud.  </w:t>
      </w:r>
      <w:r w:rsidR="0018071F" w:rsidRPr="001F4F5C">
        <w:rPr>
          <w:color w:val="3F3F3F"/>
          <w:szCs w:val="24"/>
        </w:rPr>
        <w:t xml:space="preserve">DHS ECS converged infrastructure solutions will employ physical (converged infrastructure deployment) and virtual (appliance which aggregates distributed resources) forms. Based on customer needs, these can be a multi-rack ecosystem or even a smaller, node-based, architecture supporting a specific use case. DHS ECS will help combine </w:t>
      </w:r>
      <w:r w:rsidR="0018071F" w:rsidRPr="001F4F5C">
        <w:rPr>
          <w:color w:val="3F3F3F"/>
          <w:szCs w:val="24"/>
        </w:rPr>
        <w:lastRenderedPageBreak/>
        <w:t>critical resources into one logical management layer with</w:t>
      </w:r>
      <w:r w:rsidR="0018071F" w:rsidRPr="001F4F5C">
        <w:rPr>
          <w:szCs w:val="24"/>
        </w:rPr>
        <w:t xml:space="preserve"> fewer management points that the customer must navigate and</w:t>
      </w:r>
      <w:r w:rsidR="0018071F">
        <w:rPr>
          <w:szCs w:val="24"/>
        </w:rPr>
        <w:t xml:space="preserve"> </w:t>
      </w:r>
      <w:r w:rsidR="0018071F" w:rsidRPr="001F4F5C">
        <w:rPr>
          <w:szCs w:val="24"/>
        </w:rPr>
        <w:t>greater levels of customer control over their critical resources.</w:t>
      </w:r>
    </w:p>
    <w:p w:rsidR="0018071F" w:rsidRPr="001F4F5C" w:rsidRDefault="0018071F" w:rsidP="0018071F">
      <w:pPr>
        <w:rPr>
          <w:szCs w:val="24"/>
        </w:rPr>
      </w:pPr>
      <w:r w:rsidRPr="001F4F5C">
        <w:rPr>
          <w:szCs w:val="24"/>
        </w:rPr>
        <w:t xml:space="preserve">While the concept of converged systems is not new, the major difference for </w:t>
      </w:r>
      <w:r w:rsidRPr="001F4F5C">
        <w:rPr>
          <w:color w:val="3F3F3F"/>
          <w:szCs w:val="24"/>
        </w:rPr>
        <w:t>DHS ECS will be our focus on major optimizations, management tools, and application program interface (API) integration points to create a converged ecosystem.</w:t>
      </w:r>
      <w:r w:rsidRPr="001F4F5C">
        <w:rPr>
          <w:szCs w:val="24"/>
        </w:rPr>
        <w:t xml:space="preserve">  DHS ECS will </w:t>
      </w:r>
      <w:r w:rsidRPr="001F4F5C">
        <w:rPr>
          <w:color w:val="3F3F3F"/>
          <w:szCs w:val="24"/>
        </w:rPr>
        <w:t>help define the next-generation convergence environment by redefining how organizations deploy cloud and data center solutions.</w:t>
      </w:r>
    </w:p>
    <w:p w:rsidR="0018071F" w:rsidRPr="001F4F5C" w:rsidRDefault="0018071F" w:rsidP="0018071F">
      <w:pPr>
        <w:rPr>
          <w:szCs w:val="24"/>
        </w:rPr>
      </w:pPr>
      <w:r w:rsidRPr="001F4F5C">
        <w:rPr>
          <w:szCs w:val="24"/>
        </w:rPr>
        <w:t>DHS ECS will accomplish converged infrastructure efficiencies in several ways.</w:t>
      </w:r>
    </w:p>
    <w:p w:rsidR="0018071F" w:rsidRPr="001F4F5C" w:rsidRDefault="0018071F" w:rsidP="00742544">
      <w:pPr>
        <w:pStyle w:val="ListParagraph"/>
        <w:numPr>
          <w:ilvl w:val="0"/>
          <w:numId w:val="36"/>
        </w:numPr>
        <w:rPr>
          <w:color w:val="3F3F3F"/>
          <w:szCs w:val="24"/>
        </w:rPr>
      </w:pPr>
      <w:r w:rsidRPr="001F4F5C">
        <w:rPr>
          <w:szCs w:val="24"/>
        </w:rPr>
        <w:t>DHS ECS will</w:t>
      </w:r>
      <w:r w:rsidRPr="001F4F5C">
        <w:rPr>
          <w:color w:val="3F3F3F"/>
          <w:szCs w:val="24"/>
        </w:rPr>
        <w:t xml:space="preserve"> allow both DHS data center leadership and customers to pursue integration with third-party and provisioned solutions. This can be monitoring, security, networking services, application management, cloud services, and more to facilitate integration with other (external) data center and cloud resources. </w:t>
      </w:r>
    </w:p>
    <w:p w:rsidR="0018071F" w:rsidRPr="00E42B6C" w:rsidRDefault="0018071F" w:rsidP="00742544">
      <w:pPr>
        <w:pStyle w:val="ListParagraph"/>
        <w:numPr>
          <w:ilvl w:val="0"/>
          <w:numId w:val="36"/>
        </w:numPr>
        <w:rPr>
          <w:color w:val="3F3F3F"/>
          <w:szCs w:val="24"/>
        </w:rPr>
      </w:pPr>
      <w:r w:rsidRPr="001F4F5C">
        <w:rPr>
          <w:bCs/>
          <w:color w:val="3F3F3F"/>
          <w:szCs w:val="24"/>
        </w:rPr>
        <w:t>DHS ECS will allow DHS data center leadership and customers to manage d</w:t>
      </w:r>
      <w:r w:rsidRPr="001F4F5C">
        <w:rPr>
          <w:color w:val="3F3F3F"/>
          <w:szCs w:val="24"/>
        </w:rPr>
        <w:t>ata center environmental variables for greater data center efficiency by removing older, isolated components and aggregating critical resources based on where the business is going internal and external to the data center and how IT will support these goals. DHS believes that the converged infrastructure approach will actually help with the overall data center footprint, power utilization, and even cooling efficiencies.  Similarly, DHS will apply the concept of converged infrastructure solutions to segment user groups and applications and create greater opportunities for multi-</w:t>
      </w:r>
      <w:r w:rsidRPr="00E42B6C">
        <w:rPr>
          <w:color w:val="3F3F3F"/>
          <w:szCs w:val="24"/>
        </w:rPr>
        <w:t>tenancy.</w:t>
      </w:r>
    </w:p>
    <w:p w:rsidR="0018071F" w:rsidRPr="00E42B6C" w:rsidRDefault="0018071F" w:rsidP="00742544">
      <w:pPr>
        <w:pStyle w:val="ListParagraph"/>
        <w:numPr>
          <w:ilvl w:val="0"/>
          <w:numId w:val="36"/>
        </w:numPr>
        <w:rPr>
          <w:color w:val="3F3F3F"/>
          <w:szCs w:val="24"/>
        </w:rPr>
      </w:pPr>
      <w:r w:rsidRPr="00E42B6C">
        <w:rPr>
          <w:bCs/>
          <w:color w:val="3F3F3F"/>
          <w:szCs w:val="24"/>
        </w:rPr>
        <w:t>DHS ECS will allow for data center and business agility by allowing the DHS customer to</w:t>
      </w:r>
      <w:r w:rsidRPr="00E42B6C">
        <w:rPr>
          <w:color w:val="3F3F3F"/>
          <w:szCs w:val="24"/>
        </w:rPr>
        <w:t xml:space="preserve"> provision and de-provision resources based on context, application, etc., and adapt to very quickly changing business dynamics. Ultimately, by being able to be truly agile and supporting more business use cases, DHS ECS will create real performance and cost advantages for DHS mission customers.</w:t>
      </w:r>
    </w:p>
    <w:p w:rsidR="0018071F" w:rsidRDefault="0018071F" w:rsidP="00742544">
      <w:pPr>
        <w:pStyle w:val="ListParagraph"/>
        <w:numPr>
          <w:ilvl w:val="0"/>
          <w:numId w:val="36"/>
        </w:numPr>
        <w:rPr>
          <w:color w:val="3F3F3F"/>
          <w:szCs w:val="24"/>
        </w:rPr>
      </w:pPr>
      <w:r w:rsidRPr="00E42B6C">
        <w:rPr>
          <w:bCs/>
          <w:color w:val="3F3F3F"/>
          <w:szCs w:val="24"/>
        </w:rPr>
        <w:t>DHS ECS will impact security design by allowing DHS data center leadership to</w:t>
      </w:r>
      <w:r w:rsidRPr="00E42B6C">
        <w:rPr>
          <w:color w:val="3F3F3F"/>
          <w:szCs w:val="24"/>
        </w:rPr>
        <w:t xml:space="preserve"> aggregate resources, set very specific control and management policies, and even allow access to workloads</w:t>
      </w:r>
      <w:r w:rsidRPr="001F4F5C">
        <w:rPr>
          <w:color w:val="3F3F3F"/>
          <w:szCs w:val="24"/>
        </w:rPr>
        <w:t xml:space="preserve"> based on user context to create controls over sensitive data points. From this converged architecture, DHS ECS will control where resources go and how they interact with cloud technologies. Because security against advanced persistent threats (APTs) is a priority, through converged infrastructure, DHS ECS will set strict multi-tenancy policies and manage access based on a number of granular administrative controls over these new levels of management, workload, and cloud integration </w:t>
      </w:r>
    </w:p>
    <w:p w:rsidR="000C47D7" w:rsidRDefault="000C47D7" w:rsidP="00331E6E">
      <w:pPr>
        <w:pStyle w:val="Heading2"/>
      </w:pPr>
      <w:bookmarkStart w:id="6" w:name="_Toc475636828"/>
      <w:r>
        <w:t>Background</w:t>
      </w:r>
      <w:bookmarkEnd w:id="6"/>
    </w:p>
    <w:p w:rsidR="008135F6" w:rsidRPr="006257E4" w:rsidRDefault="00DD0D24" w:rsidP="006257E4">
      <w:pPr>
        <w:pStyle w:val="Default"/>
        <w:rPr>
          <w:rFonts w:ascii="Times New Roman" w:hAnsi="Times New Roman" w:cs="Times New Roman"/>
        </w:rPr>
      </w:pPr>
      <w:r w:rsidRPr="009F2808">
        <w:rPr>
          <w:rFonts w:ascii="Times New Roman" w:hAnsi="Times New Roman" w:cs="Times New Roman"/>
          <w:color w:val="231F20"/>
          <w:spacing w:val="-1"/>
        </w:rPr>
        <w:t>In response to the call for IT reform</w:t>
      </w:r>
      <w:r w:rsidR="00C55078" w:rsidRPr="009F2808">
        <w:rPr>
          <w:rFonts w:ascii="Times New Roman" w:hAnsi="Times New Roman" w:cs="Times New Roman"/>
          <w:color w:val="231F20"/>
          <w:spacing w:val="-1"/>
        </w:rPr>
        <w:t xml:space="preserve"> in 2011</w:t>
      </w:r>
      <w:r w:rsidRPr="009F2808">
        <w:rPr>
          <w:rFonts w:ascii="Times New Roman" w:hAnsi="Times New Roman" w:cs="Times New Roman"/>
          <w:color w:val="231F20"/>
          <w:spacing w:val="-1"/>
        </w:rPr>
        <w:t>, DHS imme</w:t>
      </w:r>
      <w:r w:rsidR="0037502C" w:rsidRPr="009F2808">
        <w:rPr>
          <w:rFonts w:ascii="Times New Roman" w:hAnsi="Times New Roman" w:cs="Times New Roman"/>
          <w:color w:val="231F20"/>
          <w:spacing w:val="-1"/>
        </w:rPr>
        <w:t>diately began planning its enterprise</w:t>
      </w:r>
      <w:r w:rsidRPr="009F2808">
        <w:rPr>
          <w:rFonts w:ascii="Times New Roman" w:hAnsi="Times New Roman" w:cs="Times New Roman"/>
          <w:color w:val="231F20"/>
          <w:spacing w:val="-1"/>
        </w:rPr>
        <w:t xml:space="preserve"> </w:t>
      </w:r>
      <w:r w:rsidR="0037502C" w:rsidRPr="009F2808">
        <w:rPr>
          <w:rFonts w:ascii="Times New Roman" w:hAnsi="Times New Roman" w:cs="Times New Roman"/>
          <w:color w:val="231F20"/>
          <w:spacing w:val="-1"/>
        </w:rPr>
        <w:t>c</w:t>
      </w:r>
      <w:r w:rsidRPr="009F2808">
        <w:rPr>
          <w:rFonts w:ascii="Times New Roman" w:hAnsi="Times New Roman" w:cs="Times New Roman"/>
          <w:color w:val="231F20"/>
          <w:spacing w:val="-1"/>
        </w:rPr>
        <w:t xml:space="preserve">omputing </w:t>
      </w:r>
      <w:r w:rsidR="0037502C" w:rsidRPr="009F2808">
        <w:rPr>
          <w:rFonts w:ascii="Times New Roman" w:hAnsi="Times New Roman" w:cs="Times New Roman"/>
          <w:color w:val="231F20"/>
          <w:spacing w:val="-1"/>
        </w:rPr>
        <w:t>s</w:t>
      </w:r>
      <w:r w:rsidRPr="009F2808">
        <w:rPr>
          <w:rFonts w:ascii="Times New Roman" w:hAnsi="Times New Roman" w:cs="Times New Roman"/>
          <w:color w:val="231F20"/>
          <w:spacing w:val="-1"/>
        </w:rPr>
        <w:t xml:space="preserve">ervices </w:t>
      </w:r>
      <w:r w:rsidR="0037502C" w:rsidRPr="009F2808">
        <w:rPr>
          <w:rFonts w:ascii="Times New Roman" w:hAnsi="Times New Roman" w:cs="Times New Roman"/>
          <w:color w:val="231F20"/>
          <w:spacing w:val="-1"/>
        </w:rPr>
        <w:t xml:space="preserve">business model </w:t>
      </w:r>
      <w:r w:rsidRPr="009F2808">
        <w:rPr>
          <w:rFonts w:ascii="Times New Roman" w:hAnsi="Times New Roman" w:cs="Times New Roman"/>
          <w:color w:val="231F20"/>
          <w:spacing w:val="-1"/>
        </w:rPr>
        <w:t xml:space="preserve">and putting the foundation </w:t>
      </w:r>
      <w:r w:rsidR="004D031D" w:rsidRPr="009F2808">
        <w:rPr>
          <w:rFonts w:ascii="Times New Roman" w:hAnsi="Times New Roman" w:cs="Times New Roman"/>
          <w:color w:val="231F20"/>
          <w:spacing w:val="-1"/>
        </w:rPr>
        <w:t>in place for these service, which focused primarily on data center consolidation and delivery of as-a-service capability in the DHS private cloud</w:t>
      </w:r>
      <w:r w:rsidR="00CF1244" w:rsidRPr="009F2808">
        <w:rPr>
          <w:rFonts w:ascii="Times New Roman" w:hAnsi="Times New Roman" w:cs="Times New Roman"/>
          <w:color w:val="231F20"/>
          <w:spacing w:val="-1"/>
        </w:rPr>
        <w:t xml:space="preserve">.  DHS has made significant progress against that strategy </w:t>
      </w:r>
      <w:r w:rsidR="00A92A42" w:rsidRPr="009F2808">
        <w:rPr>
          <w:rFonts w:ascii="Times New Roman" w:hAnsi="Times New Roman" w:cs="Times New Roman"/>
          <w:color w:val="231F20"/>
          <w:spacing w:val="-1"/>
        </w:rPr>
        <w:t xml:space="preserve">however, advancement in the market place command the need for an updated </w:t>
      </w:r>
      <w:r w:rsidR="008135F6" w:rsidRPr="009F2808">
        <w:rPr>
          <w:rFonts w:ascii="Times New Roman" w:hAnsi="Times New Roman" w:cs="Times New Roman"/>
          <w:color w:val="231F20"/>
          <w:spacing w:val="-1"/>
        </w:rPr>
        <w:t>strategy</w:t>
      </w:r>
      <w:r w:rsidR="00CF1244" w:rsidRPr="009F2808">
        <w:rPr>
          <w:rFonts w:ascii="Times New Roman" w:hAnsi="Times New Roman" w:cs="Times New Roman"/>
          <w:color w:val="231F20"/>
          <w:spacing w:val="-1"/>
        </w:rPr>
        <w:t xml:space="preserve">.  This </w:t>
      </w:r>
      <w:r w:rsidR="004D031D" w:rsidRPr="009F2808">
        <w:rPr>
          <w:rFonts w:ascii="Times New Roman" w:hAnsi="Times New Roman" w:cs="Times New Roman"/>
          <w:color w:val="231F20"/>
          <w:spacing w:val="-1"/>
        </w:rPr>
        <w:t>DHS Data Center Optimization Implementation</w:t>
      </w:r>
      <w:r w:rsidR="00CF1244" w:rsidRPr="009F2808">
        <w:rPr>
          <w:rFonts w:ascii="Times New Roman" w:hAnsi="Times New Roman" w:cs="Times New Roman"/>
          <w:color w:val="231F20"/>
          <w:spacing w:val="-1"/>
        </w:rPr>
        <w:t xml:space="preserve"> Strategy </w:t>
      </w:r>
      <w:r w:rsidR="003E6861" w:rsidRPr="009F2808">
        <w:rPr>
          <w:rFonts w:ascii="Times New Roman" w:hAnsi="Times New Roman" w:cs="Times New Roman"/>
          <w:color w:val="231F20"/>
          <w:spacing w:val="-1"/>
        </w:rPr>
        <w:t>lays out</w:t>
      </w:r>
      <w:r w:rsidR="00CF1244" w:rsidRPr="009F2808">
        <w:rPr>
          <w:rFonts w:ascii="Times New Roman" w:hAnsi="Times New Roman" w:cs="Times New Roman"/>
          <w:color w:val="231F20"/>
          <w:spacing w:val="-1"/>
        </w:rPr>
        <w:t xml:space="preserve"> the path forward for the </w:t>
      </w:r>
      <w:r w:rsidR="00C55078" w:rsidRPr="009F2808">
        <w:rPr>
          <w:rFonts w:ascii="Times New Roman" w:hAnsi="Times New Roman" w:cs="Times New Roman"/>
          <w:color w:val="231F20"/>
          <w:spacing w:val="-1"/>
        </w:rPr>
        <w:t>D</w:t>
      </w:r>
      <w:r w:rsidR="00CF1244" w:rsidRPr="009F2808">
        <w:rPr>
          <w:rFonts w:ascii="Times New Roman" w:hAnsi="Times New Roman" w:cs="Times New Roman"/>
          <w:color w:val="231F20"/>
          <w:spacing w:val="-1"/>
        </w:rPr>
        <w:t>epartment</w:t>
      </w:r>
      <w:r w:rsidR="00C55078" w:rsidRPr="009F2808">
        <w:rPr>
          <w:rFonts w:ascii="Times New Roman" w:hAnsi="Times New Roman" w:cs="Times New Roman"/>
          <w:color w:val="231F20"/>
          <w:spacing w:val="-1"/>
        </w:rPr>
        <w:t xml:space="preserve"> and Components</w:t>
      </w:r>
      <w:r w:rsidR="004D031D" w:rsidRPr="009F2808">
        <w:rPr>
          <w:rFonts w:ascii="Times New Roman" w:hAnsi="Times New Roman" w:cs="Times New Roman"/>
          <w:color w:val="231F20"/>
          <w:spacing w:val="-1"/>
        </w:rPr>
        <w:t xml:space="preserve"> to have access enterprise </w:t>
      </w:r>
      <w:r w:rsidR="008135F6" w:rsidRPr="009F2808">
        <w:rPr>
          <w:rFonts w:ascii="Times New Roman" w:hAnsi="Times New Roman" w:cs="Times New Roman"/>
          <w:color w:val="231F20"/>
          <w:spacing w:val="-1"/>
        </w:rPr>
        <w:t>computing alternatives</w:t>
      </w:r>
      <w:r w:rsidR="00B53A9A" w:rsidRPr="009F2808">
        <w:rPr>
          <w:rFonts w:ascii="Times New Roman" w:hAnsi="Times New Roman" w:cs="Times New Roman"/>
          <w:color w:val="231F20"/>
          <w:spacing w:val="-1"/>
        </w:rPr>
        <w:t xml:space="preserve"> a</w:t>
      </w:r>
      <w:r w:rsidR="004D031D" w:rsidRPr="009F2808">
        <w:rPr>
          <w:rFonts w:ascii="Times New Roman" w:hAnsi="Times New Roman" w:cs="Times New Roman"/>
          <w:color w:val="231F20"/>
          <w:spacing w:val="-1"/>
        </w:rPr>
        <w:t xml:space="preserve">nd the multi-provider provisioned service sources </w:t>
      </w:r>
      <w:r w:rsidR="00BD1516" w:rsidRPr="009F2808">
        <w:rPr>
          <w:rFonts w:ascii="Times New Roman" w:hAnsi="Times New Roman" w:cs="Times New Roman"/>
          <w:color w:val="231F20"/>
          <w:spacing w:val="-1"/>
        </w:rPr>
        <w:t>through the</w:t>
      </w:r>
      <w:r w:rsidR="004D031D" w:rsidRPr="009F2808">
        <w:rPr>
          <w:rFonts w:ascii="Times New Roman" w:hAnsi="Times New Roman" w:cs="Times New Roman"/>
          <w:color w:val="231F20"/>
          <w:spacing w:val="-1"/>
        </w:rPr>
        <w:t xml:space="preserve"> DHS Enterprise Data Centers (EDCs)</w:t>
      </w:r>
      <w:r w:rsidR="00A92A42" w:rsidRPr="009F2808">
        <w:rPr>
          <w:rFonts w:ascii="Times New Roman" w:hAnsi="Times New Roman" w:cs="Times New Roman"/>
          <w:color w:val="231F20"/>
          <w:spacing w:val="-1"/>
        </w:rPr>
        <w:t xml:space="preserve">.  This strategy </w:t>
      </w:r>
      <w:r w:rsidR="004D031D" w:rsidRPr="009F2808">
        <w:rPr>
          <w:rFonts w:ascii="Times New Roman" w:hAnsi="Times New Roman" w:cs="Times New Roman"/>
          <w:color w:val="231F20"/>
          <w:spacing w:val="-1"/>
        </w:rPr>
        <w:t xml:space="preserve">in conjunction with an enterprise </w:t>
      </w:r>
      <w:r w:rsidR="00C55078" w:rsidRPr="009F2808">
        <w:rPr>
          <w:rFonts w:ascii="Times New Roman" w:hAnsi="Times New Roman" w:cs="Times New Roman"/>
          <w:color w:val="231F20"/>
          <w:spacing w:val="-1"/>
        </w:rPr>
        <w:t>computing</w:t>
      </w:r>
      <w:r w:rsidR="00A92A42" w:rsidRPr="009F2808">
        <w:rPr>
          <w:rFonts w:ascii="Times New Roman" w:hAnsi="Times New Roman" w:cs="Times New Roman"/>
          <w:color w:val="231F20"/>
          <w:spacing w:val="-1"/>
        </w:rPr>
        <w:t xml:space="preserve"> roadmap, governance model,</w:t>
      </w:r>
      <w:r w:rsidRPr="009F2808">
        <w:rPr>
          <w:rFonts w:ascii="Times New Roman" w:hAnsi="Times New Roman" w:cs="Times New Roman"/>
          <w:color w:val="231F20"/>
          <w:spacing w:val="-1"/>
        </w:rPr>
        <w:t xml:space="preserve"> </w:t>
      </w:r>
      <w:r w:rsidR="00A92A42" w:rsidRPr="009F2808">
        <w:rPr>
          <w:rFonts w:ascii="Times New Roman" w:hAnsi="Times New Roman" w:cs="Times New Roman"/>
          <w:color w:val="231F20"/>
          <w:spacing w:val="-1"/>
        </w:rPr>
        <w:t>migration plans</w:t>
      </w:r>
      <w:r w:rsidRPr="009F2808">
        <w:rPr>
          <w:rFonts w:ascii="Times New Roman" w:hAnsi="Times New Roman" w:cs="Times New Roman"/>
          <w:color w:val="231F20"/>
          <w:spacing w:val="-1"/>
        </w:rPr>
        <w:t xml:space="preserve">, and </w:t>
      </w:r>
      <w:r w:rsidR="00A92A42" w:rsidRPr="009F2808">
        <w:rPr>
          <w:rFonts w:ascii="Times New Roman" w:hAnsi="Times New Roman" w:cs="Times New Roman"/>
          <w:color w:val="231F20"/>
          <w:spacing w:val="-1"/>
        </w:rPr>
        <w:t>strategic communications</w:t>
      </w:r>
      <w:r w:rsidR="00AC42AB" w:rsidRPr="009F2808">
        <w:rPr>
          <w:rFonts w:ascii="Times New Roman" w:hAnsi="Times New Roman" w:cs="Times New Roman"/>
          <w:color w:val="231F20"/>
          <w:spacing w:val="-1"/>
        </w:rPr>
        <w:t xml:space="preserve"> </w:t>
      </w:r>
      <w:r w:rsidR="00A92A42" w:rsidRPr="009F2808">
        <w:rPr>
          <w:rFonts w:ascii="Times New Roman" w:hAnsi="Times New Roman" w:cs="Times New Roman"/>
          <w:color w:val="231F20"/>
          <w:spacing w:val="-1"/>
        </w:rPr>
        <w:t>will allow DHS to realize the vision and goals</w:t>
      </w:r>
      <w:r w:rsidR="00A92A42" w:rsidRPr="006257E4">
        <w:rPr>
          <w:rFonts w:ascii="Times New Roman" w:hAnsi="Times New Roman" w:cs="Times New Roman"/>
          <w:color w:val="231F20"/>
          <w:spacing w:val="-1"/>
        </w:rPr>
        <w:t xml:space="preserve"> set out in the IT Strategic Plan</w:t>
      </w:r>
      <w:r w:rsidRPr="006257E4">
        <w:rPr>
          <w:rFonts w:ascii="Times New Roman" w:hAnsi="Times New Roman" w:cs="Times New Roman"/>
          <w:color w:val="231F20"/>
          <w:spacing w:val="-1"/>
        </w:rPr>
        <w:t xml:space="preserve">. </w:t>
      </w:r>
      <w:r w:rsidR="00A92A42" w:rsidRPr="006257E4">
        <w:rPr>
          <w:rFonts w:ascii="Times New Roman" w:hAnsi="Times New Roman" w:cs="Times New Roman"/>
          <w:color w:val="231F20"/>
          <w:spacing w:val="-1"/>
        </w:rPr>
        <w:t xml:space="preserve"> </w:t>
      </w:r>
      <w:r w:rsidR="008135F6" w:rsidRPr="006257E4">
        <w:rPr>
          <w:rFonts w:ascii="Times New Roman" w:hAnsi="Times New Roman" w:cs="Times New Roman"/>
          <w:color w:val="231F20"/>
          <w:spacing w:val="-1"/>
        </w:rPr>
        <w:t>This strategy put</w:t>
      </w:r>
      <w:r w:rsidR="004D031D">
        <w:rPr>
          <w:rFonts w:ascii="Times New Roman" w:hAnsi="Times New Roman" w:cs="Times New Roman"/>
          <w:color w:val="231F20"/>
          <w:spacing w:val="-1"/>
        </w:rPr>
        <w:t xml:space="preserve">s in context OMBs Data </w:t>
      </w:r>
      <w:r w:rsidR="004D031D">
        <w:rPr>
          <w:rFonts w:ascii="Times New Roman" w:hAnsi="Times New Roman" w:cs="Times New Roman"/>
          <w:color w:val="231F20"/>
          <w:spacing w:val="-1"/>
        </w:rPr>
        <w:lastRenderedPageBreak/>
        <w:t>Center Optimization Initiative</w:t>
      </w:r>
      <w:r w:rsidR="008135F6" w:rsidRPr="006257E4">
        <w:rPr>
          <w:rFonts w:ascii="Times New Roman" w:hAnsi="Times New Roman" w:cs="Times New Roman"/>
          <w:color w:val="231F20"/>
          <w:spacing w:val="-1"/>
        </w:rPr>
        <w:t>.</w:t>
      </w:r>
      <w:r w:rsidR="00A059B8" w:rsidRPr="006257E4">
        <w:rPr>
          <w:rFonts w:ascii="Times New Roman" w:hAnsi="Times New Roman" w:cs="Times New Roman"/>
          <w:color w:val="231F20"/>
          <w:spacing w:val="-1"/>
        </w:rPr>
        <w:t xml:space="preserve">  Simply stated </w:t>
      </w:r>
      <w:r w:rsidR="004D031D">
        <w:rPr>
          <w:rFonts w:ascii="Times New Roman" w:hAnsi="Times New Roman" w:cs="Times New Roman"/>
          <w:b/>
          <w:i/>
          <w:color w:val="231F20"/>
          <w:spacing w:val="-1"/>
        </w:rPr>
        <w:t>it requires agencies t</w:t>
      </w:r>
      <w:r w:rsidR="004D031D" w:rsidRPr="004D031D">
        <w:rPr>
          <w:rFonts w:ascii="Times New Roman" w:hAnsi="Times New Roman" w:cs="Times New Roman"/>
          <w:b/>
          <w:i/>
          <w:color w:val="231F20"/>
          <w:spacing w:val="-1"/>
        </w:rPr>
        <w:t>o consolidate inefficient infrastructure, optimize existing facilities, improve security posture, achieve cost savings, and transition to more efficient infrastructure, such as cloud services and inter-agency shared services.</w:t>
      </w:r>
    </w:p>
    <w:p w:rsidR="00A564ED" w:rsidRPr="00354A81" w:rsidRDefault="00A564ED" w:rsidP="00354A81">
      <w:pPr>
        <w:pStyle w:val="Heading2"/>
      </w:pPr>
      <w:bookmarkStart w:id="7" w:name="_Toc475636829"/>
      <w:r w:rsidRPr="00354A81">
        <w:t>Alignment to Business Goals</w:t>
      </w:r>
      <w:bookmarkEnd w:id="7"/>
    </w:p>
    <w:p w:rsidR="00A564ED" w:rsidRPr="00354A81" w:rsidRDefault="00A564ED" w:rsidP="00A564ED">
      <w:r w:rsidRPr="00354A81">
        <w:t>The DHS Strategic Plan, Fiscal years 2014-2018, focuses on how the department will implement the goals laid out in the 2014 Quadrennial Homeland Security Review (QHSR).</w:t>
      </w:r>
      <w:r w:rsidR="00354A81">
        <w:t xml:space="preserve">  The </w:t>
      </w:r>
      <w:r w:rsidR="009F2808">
        <w:t>DHS Data Center Optimization Implementation</w:t>
      </w:r>
      <w:r w:rsidR="00354A81">
        <w:t xml:space="preserve"> Strategy supports and enables all of the DHS mission goals and objectives by providing alternative computing platforms that can scale to meet increased demand of mission operations in a secure and flexible manner.  The Department has established a strategic sourcing initiative to pr</w:t>
      </w:r>
      <w:r w:rsidR="00507293">
        <w:t xml:space="preserve">ovide Components access to </w:t>
      </w:r>
      <w:r w:rsidR="00354A81">
        <w:t>service providers in the open market.  This enables Components to be proactive in supporting the mission needs of their operators</w:t>
      </w:r>
      <w:r w:rsidR="00794612">
        <w:t xml:space="preserve"> in</w:t>
      </w:r>
      <w:r w:rsidR="00354A81">
        <w:t xml:space="preserve"> scalable, yet secure and cost effective manner.  </w:t>
      </w:r>
    </w:p>
    <w:p w:rsidR="00A564ED" w:rsidRPr="00354A81" w:rsidRDefault="00507293" w:rsidP="00354A81">
      <w:pPr>
        <w:pStyle w:val="Heading2"/>
      </w:pPr>
      <w:bookmarkStart w:id="8" w:name="_Toc475636830"/>
      <w:r>
        <w:t>Data Center</w:t>
      </w:r>
      <w:r w:rsidR="00A564ED" w:rsidRPr="00354A81">
        <w:t xml:space="preserve"> Ecosystem</w:t>
      </w:r>
      <w:bookmarkEnd w:id="8"/>
    </w:p>
    <w:p w:rsidR="00CA1E0F" w:rsidRDefault="00507293" w:rsidP="00507293">
      <w:pPr>
        <w:pStyle w:val="NormalWeb"/>
      </w:pPr>
      <w:r>
        <w:t>The data center</w:t>
      </w:r>
      <w:r w:rsidR="00A564ED" w:rsidRPr="00354A81">
        <w:t xml:space="preserve"> ecosystem establishes an environment where consumers and providers are connected via reliable networks to ensure full range of computing availability, accessibility, and reliability.</w:t>
      </w:r>
      <w:r>
        <w:t xml:space="preserve">  This ecosystem </w:t>
      </w:r>
      <w:r w:rsidRPr="00507293">
        <w:rPr>
          <w:lang w:val="en"/>
        </w:rPr>
        <w:t>operates by grouping multiple information technology (IT) components into a single, optimized computing package</w:t>
      </w:r>
      <w:r w:rsidR="00CA1E0F">
        <w:rPr>
          <w:lang w:val="en"/>
        </w:rPr>
        <w:t xml:space="preserve"> through converged infrastructure</w:t>
      </w:r>
      <w:r w:rsidR="003B3278" w:rsidRPr="00354A81">
        <w:t>.</w:t>
      </w:r>
      <w:r w:rsidR="00A564ED">
        <w:t xml:space="preserve">  </w:t>
      </w:r>
      <w:r>
        <w:t xml:space="preserve">The following excerpt and references from Wikipedia provide some insight into the impact of </w:t>
      </w:r>
      <w:r w:rsidR="00CA1E0F">
        <w:t>converged infrastructure.</w:t>
      </w:r>
    </w:p>
    <w:p w:rsidR="00507293" w:rsidRPr="00D30309" w:rsidRDefault="00507293" w:rsidP="00D30309">
      <w:pPr>
        <w:pStyle w:val="NormalWeb"/>
        <w:ind w:left="720"/>
        <w:rPr>
          <w:i/>
          <w:lang w:val="en"/>
        </w:rPr>
      </w:pPr>
      <w:r w:rsidRPr="00D30309">
        <w:rPr>
          <w:i/>
        </w:rPr>
        <w:t>“</w:t>
      </w:r>
      <w:r w:rsidRPr="00D30309">
        <w:rPr>
          <w:i/>
          <w:lang w:val="en"/>
        </w:rPr>
        <w:t xml:space="preserve">Writing in </w:t>
      </w:r>
      <w:hyperlink r:id="rId24" w:tooltip="CIO magazine" w:history="1">
        <w:r w:rsidRPr="00D30309">
          <w:rPr>
            <w:rStyle w:val="Hyperlink"/>
            <w:i/>
            <w:iCs/>
            <w:color w:val="auto"/>
            <w:u w:val="none"/>
            <w:lang w:val="en"/>
          </w:rPr>
          <w:t>CIO magazine</w:t>
        </w:r>
      </w:hyperlink>
      <w:r w:rsidRPr="00D30309">
        <w:rPr>
          <w:i/>
          <w:lang w:val="en"/>
        </w:rPr>
        <w:t xml:space="preserve">, </w:t>
      </w:r>
      <w:hyperlink r:id="rId25" w:tooltip="Forrester Research" w:history="1">
        <w:r w:rsidRPr="00D30309">
          <w:rPr>
            <w:rStyle w:val="Hyperlink"/>
            <w:i/>
            <w:color w:val="auto"/>
            <w:u w:val="none"/>
            <w:lang w:val="en"/>
          </w:rPr>
          <w:t>Forrester Research</w:t>
        </w:r>
      </w:hyperlink>
      <w:r w:rsidRPr="00D30309">
        <w:rPr>
          <w:i/>
          <w:lang w:val="en"/>
        </w:rPr>
        <w:t xml:space="preserve"> analyst Robert </w:t>
      </w:r>
      <w:proofErr w:type="spellStart"/>
      <w:r w:rsidRPr="00D30309">
        <w:rPr>
          <w:i/>
          <w:lang w:val="en"/>
        </w:rPr>
        <w:t>Whiteley</w:t>
      </w:r>
      <w:proofErr w:type="spellEnd"/>
      <w:r w:rsidRPr="00D30309">
        <w:rPr>
          <w:i/>
          <w:lang w:val="en"/>
        </w:rPr>
        <w:t xml:space="preserve"> noted that converged infrastructures, combining server, storage, and networks into a single framework, help to transform the economics [of] running the datacenter thus accelerating the transition </w:t>
      </w:r>
      <w:r w:rsidRPr="00D30309">
        <w:rPr>
          <w:i/>
          <w:lang w:val="en"/>
        </w:rPr>
        <w:lastRenderedPageBreak/>
        <w:t>to IP storage to help build infrastructures that are "cloud-ready"</w:t>
      </w:r>
      <w:r w:rsidR="00CA1E0F" w:rsidRPr="00D30309">
        <w:rPr>
          <w:i/>
          <w:lang w:val="en"/>
        </w:rPr>
        <w:t>.</w:t>
      </w:r>
      <w:r w:rsidR="00CA1E0F" w:rsidRPr="00D30309">
        <w:rPr>
          <w:rStyle w:val="FootnoteReference"/>
          <w:i/>
          <w:lang w:val="en"/>
        </w:rPr>
        <w:footnoteReference w:id="9"/>
      </w:r>
      <w:r w:rsidR="00CA1E0F" w:rsidRPr="00D30309">
        <w:rPr>
          <w:i/>
          <w:lang w:val="en"/>
        </w:rPr>
        <w:t xml:space="preserve">  </w:t>
      </w:r>
      <w:r w:rsidRPr="00D30309">
        <w:rPr>
          <w:i/>
          <w:lang w:val="en"/>
        </w:rPr>
        <w:t xml:space="preserve">The combination of storage and compute into a single entity is known as </w:t>
      </w:r>
      <w:hyperlink r:id="rId26" w:tooltip="Converged storage" w:history="1">
        <w:r w:rsidRPr="00D30309">
          <w:rPr>
            <w:rStyle w:val="Hyperlink"/>
            <w:i/>
            <w:color w:val="auto"/>
            <w:u w:val="none"/>
            <w:lang w:val="en"/>
          </w:rPr>
          <w:t>converged storage</w:t>
        </w:r>
      </w:hyperlink>
      <w:r w:rsidRPr="00D30309">
        <w:rPr>
          <w:i/>
          <w:lang w:val="en"/>
        </w:rPr>
        <w:t>.</w:t>
      </w:r>
      <w:r w:rsidR="00CA1E0F" w:rsidRPr="00D30309">
        <w:rPr>
          <w:rStyle w:val="FootnoteReference"/>
          <w:i/>
          <w:lang w:val="en"/>
        </w:rPr>
        <w:footnoteReference w:id="10"/>
      </w:r>
    </w:p>
    <w:p w:rsidR="00507293" w:rsidRPr="00D30309" w:rsidRDefault="00507293" w:rsidP="00D30309">
      <w:pPr>
        <w:pStyle w:val="NormalWeb"/>
        <w:ind w:left="720"/>
        <w:rPr>
          <w:i/>
          <w:lang w:val="en"/>
        </w:rPr>
      </w:pPr>
      <w:r w:rsidRPr="00D30309">
        <w:rPr>
          <w:i/>
          <w:lang w:val="en"/>
        </w:rPr>
        <w:t xml:space="preserve">In April 2012, the open source analyst firm </w:t>
      </w:r>
      <w:hyperlink r:id="rId27" w:tooltip="Wikibon" w:history="1">
        <w:proofErr w:type="spellStart"/>
        <w:r w:rsidRPr="00D30309">
          <w:rPr>
            <w:rStyle w:val="Hyperlink"/>
            <w:i/>
            <w:color w:val="auto"/>
            <w:u w:val="none"/>
            <w:lang w:val="en"/>
          </w:rPr>
          <w:t>Wikibon</w:t>
        </w:r>
        <w:proofErr w:type="spellEnd"/>
      </w:hyperlink>
      <w:r w:rsidRPr="00D30309">
        <w:rPr>
          <w:i/>
          <w:lang w:val="en"/>
        </w:rPr>
        <w:t xml:space="preserve"> released the first market forecast for converged infrastructure,</w:t>
      </w:r>
      <w:r w:rsidR="00CA1E0F" w:rsidRPr="00D30309">
        <w:rPr>
          <w:rStyle w:val="FootnoteReference"/>
          <w:i/>
          <w:lang w:val="en"/>
        </w:rPr>
        <w:footnoteReference w:id="11"/>
      </w:r>
      <w:r w:rsidR="00CA1E0F" w:rsidRPr="00D30309">
        <w:rPr>
          <w:i/>
          <w:lang w:val="en"/>
        </w:rPr>
        <w:t xml:space="preserve"> </w:t>
      </w:r>
      <w:r w:rsidRPr="00D30309">
        <w:rPr>
          <w:i/>
          <w:lang w:val="en"/>
        </w:rPr>
        <w:t>with a projected $402B total available market (T</w:t>
      </w:r>
      <w:r w:rsidR="00D30309" w:rsidRPr="00D30309">
        <w:rPr>
          <w:i/>
          <w:lang w:val="en"/>
        </w:rPr>
        <w:t>AM) by 2017 of which, nearly two thi</w:t>
      </w:r>
      <w:r w:rsidRPr="00D30309">
        <w:rPr>
          <w:i/>
          <w:lang w:val="en"/>
        </w:rPr>
        <w:t>rds of the infrastructure that supports enterprise applications will be packaged in some type of converged solution by 2017.</w:t>
      </w:r>
    </w:p>
    <w:p w:rsidR="00507293" w:rsidRPr="00D30309" w:rsidRDefault="00507293" w:rsidP="00D30309">
      <w:pPr>
        <w:pStyle w:val="NormalWeb"/>
        <w:ind w:left="720"/>
        <w:rPr>
          <w:i/>
          <w:lang w:val="en"/>
        </w:rPr>
      </w:pPr>
      <w:r w:rsidRPr="00D30309">
        <w:rPr>
          <w:i/>
          <w:lang w:val="en"/>
        </w:rPr>
        <w:t>InformationWee</w:t>
      </w:r>
      <w:r w:rsidR="00CA1E0F" w:rsidRPr="00D30309">
        <w:rPr>
          <w:i/>
          <w:lang w:val="en"/>
        </w:rPr>
        <w:t>k</w:t>
      </w:r>
      <w:r w:rsidR="00CA1E0F" w:rsidRPr="00D30309">
        <w:rPr>
          <w:rStyle w:val="FootnoteReference"/>
          <w:i/>
          <w:lang w:val="en"/>
        </w:rPr>
        <w:footnoteReference w:id="12"/>
      </w:r>
      <w:r w:rsidR="00CA1E0F" w:rsidRPr="00D30309">
        <w:rPr>
          <w:i/>
          <w:lang w:val="en"/>
        </w:rPr>
        <w:t xml:space="preserve"> </w:t>
      </w:r>
      <w:r w:rsidRPr="00D30309">
        <w:rPr>
          <w:i/>
          <w:lang w:val="en"/>
        </w:rPr>
        <w:t>highlighted the promise of two long-term advantages of a unified data center infrastructure:</w:t>
      </w:r>
    </w:p>
    <w:p w:rsidR="00507293" w:rsidRPr="00D30309" w:rsidRDefault="00507293" w:rsidP="00742544">
      <w:pPr>
        <w:numPr>
          <w:ilvl w:val="0"/>
          <w:numId w:val="37"/>
        </w:numPr>
        <w:tabs>
          <w:tab w:val="clear" w:pos="720"/>
          <w:tab w:val="num" w:pos="1440"/>
        </w:tabs>
        <w:spacing w:before="100" w:beforeAutospacing="1" w:after="100" w:afterAutospacing="1"/>
        <w:ind w:left="1440"/>
        <w:rPr>
          <w:i/>
          <w:lang w:val="en"/>
        </w:rPr>
      </w:pPr>
      <w:r w:rsidRPr="00D30309">
        <w:rPr>
          <w:i/>
          <w:lang w:val="en"/>
        </w:rPr>
        <w:t xml:space="preserve">Lower costs as the result of both: </w:t>
      </w:r>
    </w:p>
    <w:p w:rsidR="00507293" w:rsidRPr="00D30309" w:rsidRDefault="00507293" w:rsidP="00742544">
      <w:pPr>
        <w:numPr>
          <w:ilvl w:val="1"/>
          <w:numId w:val="37"/>
        </w:numPr>
        <w:tabs>
          <w:tab w:val="clear" w:pos="1440"/>
          <w:tab w:val="num" w:pos="2160"/>
        </w:tabs>
        <w:spacing w:before="100" w:beforeAutospacing="1" w:after="100" w:afterAutospacing="1"/>
        <w:ind w:left="2160"/>
        <w:rPr>
          <w:i/>
          <w:lang w:val="en"/>
        </w:rPr>
      </w:pPr>
      <w:r w:rsidRPr="00D30309">
        <w:rPr>
          <w:i/>
          <w:lang w:val="en"/>
        </w:rPr>
        <w:t>lower capital expenses resulting from higher utilization, less cabling, and fewer network connections</w:t>
      </w:r>
    </w:p>
    <w:p w:rsidR="00507293" w:rsidRPr="00D30309" w:rsidRDefault="00507293" w:rsidP="00742544">
      <w:pPr>
        <w:numPr>
          <w:ilvl w:val="1"/>
          <w:numId w:val="37"/>
        </w:numPr>
        <w:tabs>
          <w:tab w:val="clear" w:pos="1440"/>
          <w:tab w:val="num" w:pos="2160"/>
        </w:tabs>
        <w:spacing w:before="100" w:beforeAutospacing="1" w:after="100" w:afterAutospacing="1"/>
        <w:ind w:left="2160"/>
        <w:rPr>
          <w:i/>
          <w:lang w:val="en"/>
        </w:rPr>
      </w:pPr>
      <w:r w:rsidRPr="00D30309">
        <w:rPr>
          <w:i/>
          <w:lang w:val="en"/>
        </w:rPr>
        <w:t>lower operating costs resulting from reduced labor via automated data center management and a consolidating storage and network management infrastructure teams</w:t>
      </w:r>
    </w:p>
    <w:p w:rsidR="00507293" w:rsidRPr="00D30309" w:rsidRDefault="00507293" w:rsidP="00742544">
      <w:pPr>
        <w:numPr>
          <w:ilvl w:val="0"/>
          <w:numId w:val="37"/>
        </w:numPr>
        <w:tabs>
          <w:tab w:val="clear" w:pos="720"/>
          <w:tab w:val="num" w:pos="1440"/>
        </w:tabs>
        <w:spacing w:before="100" w:beforeAutospacing="1" w:after="100" w:afterAutospacing="1"/>
        <w:ind w:left="1440"/>
        <w:rPr>
          <w:i/>
          <w:lang w:val="en"/>
        </w:rPr>
      </w:pPr>
      <w:r w:rsidRPr="00D30309">
        <w:rPr>
          <w:i/>
          <w:lang w:val="en"/>
        </w:rPr>
        <w:t xml:space="preserve">Increased IT agility by: </w:t>
      </w:r>
    </w:p>
    <w:p w:rsidR="00507293" w:rsidRPr="00D30309" w:rsidRDefault="00507293" w:rsidP="00742544">
      <w:pPr>
        <w:numPr>
          <w:ilvl w:val="1"/>
          <w:numId w:val="37"/>
        </w:numPr>
        <w:tabs>
          <w:tab w:val="clear" w:pos="1440"/>
          <w:tab w:val="num" w:pos="2160"/>
        </w:tabs>
        <w:spacing w:before="100" w:beforeAutospacing="1" w:after="100" w:afterAutospacing="1"/>
        <w:ind w:left="2160"/>
        <w:rPr>
          <w:i/>
          <w:lang w:val="en"/>
        </w:rPr>
      </w:pPr>
      <w:r w:rsidRPr="00D30309">
        <w:rPr>
          <w:i/>
          <w:lang w:val="en"/>
        </w:rPr>
        <w:t xml:space="preserve">virtualizing </w:t>
      </w:r>
      <w:hyperlink r:id="rId28" w:tooltip="Internet Protocol" w:history="1">
        <w:r w:rsidRPr="00D30309">
          <w:rPr>
            <w:rStyle w:val="Hyperlink"/>
            <w:i/>
            <w:color w:val="auto"/>
            <w:u w:val="none"/>
            <w:lang w:val="en"/>
          </w:rPr>
          <w:t>IP</w:t>
        </w:r>
      </w:hyperlink>
      <w:r w:rsidRPr="00D30309">
        <w:rPr>
          <w:i/>
          <w:lang w:val="en"/>
        </w:rPr>
        <w:t xml:space="preserve"> and </w:t>
      </w:r>
      <w:hyperlink r:id="rId29" w:tooltip="Fibre Channel" w:history="1">
        <w:proofErr w:type="spellStart"/>
        <w:r w:rsidRPr="00D30309">
          <w:rPr>
            <w:rStyle w:val="Hyperlink"/>
            <w:i/>
            <w:color w:val="auto"/>
            <w:u w:val="none"/>
            <w:lang w:val="en"/>
          </w:rPr>
          <w:t>Fibre</w:t>
        </w:r>
        <w:proofErr w:type="spellEnd"/>
        <w:r w:rsidRPr="00D30309">
          <w:rPr>
            <w:rStyle w:val="Hyperlink"/>
            <w:i/>
            <w:color w:val="auto"/>
            <w:u w:val="none"/>
            <w:lang w:val="en"/>
          </w:rPr>
          <w:t xml:space="preserve"> Channel</w:t>
        </w:r>
      </w:hyperlink>
      <w:r w:rsidRPr="00D30309">
        <w:rPr>
          <w:i/>
          <w:lang w:val="en"/>
        </w:rPr>
        <w:t xml:space="preserve"> </w:t>
      </w:r>
      <w:hyperlink r:id="rId30" w:tooltip="Storage area network" w:history="1">
        <w:r w:rsidRPr="00D30309">
          <w:rPr>
            <w:rStyle w:val="Hyperlink"/>
            <w:i/>
            <w:color w:val="auto"/>
            <w:u w:val="none"/>
            <w:lang w:val="en"/>
          </w:rPr>
          <w:t>storage networking</w:t>
        </w:r>
      </w:hyperlink>
    </w:p>
    <w:p w:rsidR="00507293" w:rsidRPr="00D30309" w:rsidRDefault="00507293" w:rsidP="00742544">
      <w:pPr>
        <w:numPr>
          <w:ilvl w:val="1"/>
          <w:numId w:val="37"/>
        </w:numPr>
        <w:tabs>
          <w:tab w:val="clear" w:pos="1440"/>
          <w:tab w:val="num" w:pos="2160"/>
        </w:tabs>
        <w:spacing w:before="100" w:beforeAutospacing="1" w:after="100" w:afterAutospacing="1"/>
        <w:ind w:left="2160"/>
        <w:rPr>
          <w:i/>
          <w:lang w:val="en"/>
        </w:rPr>
      </w:pPr>
      <w:proofErr w:type="gramStart"/>
      <w:r w:rsidRPr="00D30309">
        <w:rPr>
          <w:i/>
          <w:lang w:val="en"/>
        </w:rPr>
        <w:t>allowing</w:t>
      </w:r>
      <w:proofErr w:type="gramEnd"/>
      <w:r w:rsidRPr="00D30309">
        <w:rPr>
          <w:i/>
          <w:lang w:val="en"/>
        </w:rPr>
        <w:t xml:space="preserve"> for single console management.</w:t>
      </w:r>
    </w:p>
    <w:p w:rsidR="00312F4B" w:rsidRDefault="00507293" w:rsidP="00D30309">
      <w:pPr>
        <w:pStyle w:val="NormalWeb"/>
      </w:pPr>
      <w:r w:rsidRPr="00D30309">
        <w:rPr>
          <w:i/>
          <w:lang w:val="en"/>
        </w:rPr>
        <w:t>Data centers around the world are reaching limits in power, cooling and space.</w:t>
      </w:r>
      <w:hyperlink r:id="rId31" w:anchor="cite_note-10" w:history="1">
        <w:r w:rsidRPr="00D30309">
          <w:rPr>
            <w:i/>
            <w:color w:val="0000FF"/>
            <w:sz w:val="19"/>
            <w:szCs w:val="19"/>
            <w:u w:val="single"/>
            <w:vertAlign w:val="superscript"/>
            <w:lang w:val="en"/>
          </w:rPr>
          <w:t>[10]</w:t>
        </w:r>
      </w:hyperlink>
      <w:r w:rsidRPr="00D30309">
        <w:rPr>
          <w:i/>
          <w:lang w:val="en"/>
        </w:rPr>
        <w:t xml:space="preserve"> At the same time, capital constraints are requiring organizations to rethink data center strategy. Converged infrastructure offers</w:t>
      </w:r>
      <w:r w:rsidR="00D30309">
        <w:rPr>
          <w:i/>
          <w:lang w:val="en"/>
        </w:rPr>
        <w:t xml:space="preserve"> a solution to these challenges.”</w:t>
      </w:r>
    </w:p>
    <w:p w:rsidR="00380A7A" w:rsidRDefault="00380A7A" w:rsidP="002D35FA">
      <w:pPr>
        <w:pStyle w:val="Heading1"/>
      </w:pPr>
      <w:bookmarkStart w:id="9" w:name="_Toc475636831"/>
      <w:r>
        <w:lastRenderedPageBreak/>
        <w:t>Mandates</w:t>
      </w:r>
      <w:bookmarkEnd w:id="9"/>
    </w:p>
    <w:p w:rsidR="00380A7A" w:rsidRPr="00D255C3" w:rsidRDefault="00380A7A" w:rsidP="00380A7A">
      <w:r w:rsidRPr="00D255C3">
        <w:t xml:space="preserve">The Federal Government </w:t>
      </w:r>
      <w:r w:rsidR="003B3278">
        <w:t>continues</w:t>
      </w:r>
      <w:r w:rsidRPr="00D255C3">
        <w:t xml:space="preserve"> to accelerate the pace at which it</w:t>
      </w:r>
      <w:r w:rsidR="00AD0D2A">
        <w:t xml:space="preserve"> will realize the value of</w:t>
      </w:r>
      <w:r w:rsidR="00C616DA">
        <w:t xml:space="preserve"> DHS ECS </w:t>
      </w:r>
      <w:r w:rsidR="00AD0D2A">
        <w:t xml:space="preserve">alternatives </w:t>
      </w:r>
      <w:r w:rsidRPr="00D255C3">
        <w:t xml:space="preserve">by requiring agencies to evaluate safe, secure </w:t>
      </w:r>
      <w:r w:rsidR="00C616DA">
        <w:t xml:space="preserve">enterprise </w:t>
      </w:r>
      <w:r w:rsidRPr="00D255C3">
        <w:t>computing options before making any new IT investments. In alignment with Federal and Department-wide IT efficiency mandates, the D</w:t>
      </w:r>
      <w:r>
        <w:t>HS</w:t>
      </w:r>
      <w:r w:rsidR="00AD0D2A">
        <w:t xml:space="preserve"> ECS model is committed to </w:t>
      </w:r>
      <w:r w:rsidR="00C616DA">
        <w:t xml:space="preserve">providing a secure, resilient, and fully optimized enterprise </w:t>
      </w:r>
      <w:r w:rsidR="00225F8A">
        <w:t>computing</w:t>
      </w:r>
      <w:r w:rsidRPr="00D255C3">
        <w:t xml:space="preserve"> </w:t>
      </w:r>
      <w:r w:rsidR="00225F8A">
        <w:t>capabilities</w:t>
      </w:r>
      <w:r w:rsidRPr="00D255C3">
        <w:t>. Specific mandates include:</w:t>
      </w:r>
    </w:p>
    <w:p w:rsidR="00AD0D2A" w:rsidRPr="00846A93" w:rsidRDefault="00AD0D2A" w:rsidP="00AD0D2A">
      <w:pPr>
        <w:rPr>
          <w:b/>
          <w:szCs w:val="24"/>
        </w:rPr>
      </w:pPr>
      <w:r w:rsidRPr="00846A93">
        <w:rPr>
          <w:b/>
          <w:szCs w:val="24"/>
        </w:rPr>
        <w:t>Specific mandates include:</w:t>
      </w:r>
    </w:p>
    <w:p w:rsidR="006E33C8" w:rsidRPr="0090486F" w:rsidRDefault="006E33C8" w:rsidP="006E33C8">
      <w:pPr>
        <w:rPr>
          <w:rFonts w:eastAsia="Calibri"/>
          <w:szCs w:val="24"/>
        </w:rPr>
      </w:pPr>
      <w:r w:rsidRPr="0090486F">
        <w:rPr>
          <w:b/>
          <w:spacing w:val="-1"/>
          <w:szCs w:val="24"/>
        </w:rPr>
        <w:t>Office</w:t>
      </w:r>
      <w:r w:rsidRPr="0090486F">
        <w:rPr>
          <w:b/>
          <w:spacing w:val="-6"/>
          <w:szCs w:val="24"/>
        </w:rPr>
        <w:t xml:space="preserve"> </w:t>
      </w:r>
      <w:r w:rsidRPr="0090486F">
        <w:rPr>
          <w:b/>
          <w:szCs w:val="24"/>
        </w:rPr>
        <w:t>of</w:t>
      </w:r>
      <w:r w:rsidRPr="0090486F">
        <w:rPr>
          <w:b/>
          <w:spacing w:val="-7"/>
          <w:szCs w:val="24"/>
        </w:rPr>
        <w:t xml:space="preserve"> </w:t>
      </w:r>
      <w:r w:rsidRPr="0090486F">
        <w:rPr>
          <w:b/>
          <w:szCs w:val="24"/>
        </w:rPr>
        <w:t>Management</w:t>
      </w:r>
      <w:r w:rsidRPr="0090486F">
        <w:rPr>
          <w:b/>
          <w:spacing w:val="-6"/>
          <w:szCs w:val="24"/>
        </w:rPr>
        <w:t xml:space="preserve"> </w:t>
      </w:r>
      <w:r w:rsidRPr="0090486F">
        <w:rPr>
          <w:b/>
          <w:szCs w:val="24"/>
        </w:rPr>
        <w:t>and</w:t>
      </w:r>
      <w:r w:rsidRPr="0090486F">
        <w:rPr>
          <w:b/>
          <w:spacing w:val="-6"/>
          <w:szCs w:val="24"/>
        </w:rPr>
        <w:t xml:space="preserve"> </w:t>
      </w:r>
      <w:r w:rsidRPr="0090486F">
        <w:rPr>
          <w:b/>
          <w:szCs w:val="24"/>
        </w:rPr>
        <w:t>Budget</w:t>
      </w:r>
      <w:r w:rsidRPr="0090486F">
        <w:rPr>
          <w:b/>
          <w:spacing w:val="-7"/>
          <w:szCs w:val="24"/>
        </w:rPr>
        <w:t xml:space="preserve"> </w:t>
      </w:r>
      <w:r w:rsidRPr="0090486F">
        <w:rPr>
          <w:b/>
          <w:spacing w:val="-1"/>
          <w:szCs w:val="24"/>
        </w:rPr>
        <w:t>(OMB)-directed</w:t>
      </w:r>
      <w:r w:rsidRPr="0090486F">
        <w:rPr>
          <w:b/>
          <w:spacing w:val="-7"/>
          <w:szCs w:val="24"/>
        </w:rPr>
        <w:t xml:space="preserve"> Data Center Optimization Initiative (DCOI), August 1, 2016</w:t>
      </w:r>
      <w:r w:rsidRPr="0090486F">
        <w:rPr>
          <w:b/>
          <w:spacing w:val="-1"/>
          <w:szCs w:val="24"/>
        </w:rPr>
        <w:t>:</w:t>
      </w:r>
      <w:r w:rsidRPr="0090486F">
        <w:rPr>
          <w:b/>
          <w:spacing w:val="-5"/>
          <w:szCs w:val="24"/>
        </w:rPr>
        <w:t xml:space="preserve"> </w:t>
      </w:r>
      <w:r>
        <w:rPr>
          <w:rStyle w:val="FootnoteReference"/>
          <w:b/>
          <w:spacing w:val="-5"/>
          <w:szCs w:val="24"/>
        </w:rPr>
        <w:footnoteReference w:id="13"/>
      </w:r>
      <w:r w:rsidRPr="0090486F">
        <w:rPr>
          <w:szCs w:val="24"/>
        </w:rPr>
        <w:t xml:space="preserve"> Requires agencies to develop and report on data center strategies to consolidate inefficient infrastructure, optimize existing facilities, improve security posture, achieve cost savings, and transition to more efficient infrastructure, such as cloud services and inter-agency shared services.</w:t>
      </w:r>
    </w:p>
    <w:p w:rsidR="006E33C8" w:rsidRPr="0090486F" w:rsidRDefault="006E33C8" w:rsidP="006E33C8">
      <w:pPr>
        <w:rPr>
          <w:spacing w:val="-1"/>
          <w:szCs w:val="24"/>
        </w:rPr>
      </w:pPr>
      <w:r w:rsidRPr="0090486F">
        <w:rPr>
          <w:b/>
          <w:spacing w:val="-1"/>
          <w:szCs w:val="24"/>
        </w:rPr>
        <w:t xml:space="preserve">Federal Information Technology Acquisition Reform Act (FITARA), 2015: </w:t>
      </w:r>
      <w:r w:rsidRPr="0090486F">
        <w:rPr>
          <w:rStyle w:val="FootnoteReference"/>
          <w:b/>
          <w:spacing w:val="-1"/>
          <w:szCs w:val="24"/>
        </w:rPr>
        <w:footnoteReference w:id="14"/>
      </w:r>
      <w:r w:rsidRPr="0090486F">
        <w:rPr>
          <w:b/>
          <w:spacing w:val="-1"/>
          <w:szCs w:val="24"/>
        </w:rPr>
        <w:t xml:space="preserve"> </w:t>
      </w:r>
      <w:r w:rsidRPr="0090486F">
        <w:rPr>
          <w:spacing w:val="-1"/>
          <w:szCs w:val="24"/>
        </w:rPr>
        <w:t>Provides the statutory basis for Federal-wide IT reform</w:t>
      </w:r>
    </w:p>
    <w:p w:rsidR="00AD0D2A" w:rsidRPr="0090486F" w:rsidRDefault="00AD0D2A" w:rsidP="00AD0D2A">
      <w:pPr>
        <w:rPr>
          <w:b/>
          <w:spacing w:val="-1"/>
          <w:szCs w:val="24"/>
        </w:rPr>
      </w:pPr>
      <w:r w:rsidRPr="0090486F">
        <w:rPr>
          <w:b/>
          <w:spacing w:val="-1"/>
          <w:szCs w:val="24"/>
        </w:rPr>
        <w:t xml:space="preserve">Federal Information Technology Shared Services Strategy, May 2, 2012: </w:t>
      </w:r>
      <w:r w:rsidRPr="0090486F">
        <w:rPr>
          <w:rStyle w:val="FootnoteReference"/>
          <w:b/>
          <w:spacing w:val="-1"/>
          <w:szCs w:val="24"/>
        </w:rPr>
        <w:footnoteReference w:id="15"/>
      </w:r>
      <w:r w:rsidRPr="0090486F">
        <w:rPr>
          <w:b/>
          <w:spacing w:val="-1"/>
          <w:szCs w:val="24"/>
        </w:rPr>
        <w:t xml:space="preserve"> </w:t>
      </w:r>
      <w:r w:rsidRPr="0090486F">
        <w:rPr>
          <w:spacing w:val="-1"/>
          <w:szCs w:val="24"/>
        </w:rPr>
        <w:t>Provides organizations in the Executive Branch of the United States Federal Government (Federal Agencies) with policy guidance on the full range and lifecycle of intra- and inter-agency IT shared services that enable mission, administrative, and infrastructure-related IT functions.</w:t>
      </w:r>
    </w:p>
    <w:p w:rsidR="00AD0D2A" w:rsidRPr="00D255C3" w:rsidRDefault="00AD0D2A" w:rsidP="00AD0D2A">
      <w:pPr>
        <w:rPr>
          <w:rFonts w:eastAsia="Calibri"/>
          <w:szCs w:val="24"/>
        </w:rPr>
      </w:pPr>
      <w:r w:rsidRPr="00D255C3">
        <w:rPr>
          <w:rFonts w:eastAsia="Calibri"/>
          <w:b/>
          <w:bCs/>
          <w:szCs w:val="24"/>
        </w:rPr>
        <w:t>Federal</w:t>
      </w:r>
      <w:r w:rsidRPr="00D255C3">
        <w:rPr>
          <w:rFonts w:eastAsia="Calibri"/>
          <w:b/>
          <w:bCs/>
          <w:spacing w:val="-7"/>
          <w:szCs w:val="24"/>
        </w:rPr>
        <w:t xml:space="preserve"> </w:t>
      </w:r>
      <w:r w:rsidRPr="00D255C3">
        <w:rPr>
          <w:rFonts w:eastAsia="Calibri"/>
          <w:b/>
          <w:bCs/>
          <w:spacing w:val="-1"/>
          <w:szCs w:val="24"/>
        </w:rPr>
        <w:t>CIO</w:t>
      </w:r>
      <w:r w:rsidRPr="00D255C3">
        <w:rPr>
          <w:rFonts w:eastAsia="Calibri"/>
          <w:b/>
          <w:bCs/>
          <w:spacing w:val="-6"/>
          <w:szCs w:val="24"/>
        </w:rPr>
        <w:t xml:space="preserve"> </w:t>
      </w:r>
      <w:r w:rsidRPr="00D255C3">
        <w:rPr>
          <w:rFonts w:eastAsia="Calibri"/>
          <w:b/>
          <w:bCs/>
          <w:spacing w:val="-1"/>
          <w:szCs w:val="24"/>
        </w:rPr>
        <w:t>25</w:t>
      </w:r>
      <w:r w:rsidRPr="00D255C3">
        <w:rPr>
          <w:rFonts w:eastAsia="Calibri"/>
          <w:b/>
          <w:bCs/>
          <w:spacing w:val="-6"/>
          <w:szCs w:val="24"/>
        </w:rPr>
        <w:t xml:space="preserve"> </w:t>
      </w:r>
      <w:r w:rsidRPr="00D255C3">
        <w:rPr>
          <w:rFonts w:eastAsia="Calibri"/>
          <w:b/>
          <w:bCs/>
          <w:szCs w:val="24"/>
        </w:rPr>
        <w:t>Point</w:t>
      </w:r>
      <w:r w:rsidRPr="00D255C3">
        <w:rPr>
          <w:rFonts w:eastAsia="Calibri"/>
          <w:b/>
          <w:bCs/>
          <w:spacing w:val="-6"/>
          <w:szCs w:val="24"/>
        </w:rPr>
        <w:t xml:space="preserve"> </w:t>
      </w:r>
      <w:r w:rsidRPr="00D255C3">
        <w:rPr>
          <w:rFonts w:eastAsia="Calibri"/>
          <w:b/>
          <w:bCs/>
          <w:szCs w:val="24"/>
        </w:rPr>
        <w:t>Implementation</w:t>
      </w:r>
      <w:r w:rsidRPr="00D255C3">
        <w:rPr>
          <w:rFonts w:eastAsia="Calibri"/>
          <w:b/>
          <w:bCs/>
          <w:spacing w:val="-8"/>
          <w:szCs w:val="24"/>
        </w:rPr>
        <w:t xml:space="preserve"> </w:t>
      </w:r>
      <w:r w:rsidRPr="00D255C3">
        <w:rPr>
          <w:rFonts w:eastAsia="Calibri"/>
          <w:b/>
          <w:bCs/>
          <w:szCs w:val="24"/>
        </w:rPr>
        <w:t>Plan</w:t>
      </w:r>
      <w:r w:rsidRPr="00D255C3">
        <w:rPr>
          <w:rFonts w:eastAsia="Calibri"/>
          <w:b/>
          <w:bCs/>
          <w:spacing w:val="-5"/>
          <w:szCs w:val="24"/>
        </w:rPr>
        <w:t xml:space="preserve"> </w:t>
      </w:r>
      <w:r w:rsidRPr="00D255C3">
        <w:rPr>
          <w:rFonts w:eastAsia="Calibri"/>
          <w:b/>
          <w:bCs/>
          <w:spacing w:val="-1"/>
          <w:szCs w:val="24"/>
        </w:rPr>
        <w:t>to</w:t>
      </w:r>
      <w:r w:rsidRPr="00D255C3">
        <w:rPr>
          <w:rFonts w:eastAsia="Calibri"/>
          <w:b/>
          <w:bCs/>
          <w:spacing w:val="-5"/>
          <w:szCs w:val="24"/>
        </w:rPr>
        <w:t xml:space="preserve"> </w:t>
      </w:r>
      <w:r w:rsidRPr="00D255C3">
        <w:rPr>
          <w:rFonts w:eastAsia="Calibri"/>
          <w:b/>
          <w:bCs/>
          <w:szCs w:val="24"/>
        </w:rPr>
        <w:t>Reform</w:t>
      </w:r>
      <w:r w:rsidRPr="00D255C3">
        <w:rPr>
          <w:rFonts w:eastAsia="Calibri"/>
          <w:b/>
          <w:bCs/>
          <w:spacing w:val="-6"/>
          <w:szCs w:val="24"/>
        </w:rPr>
        <w:t xml:space="preserve"> </w:t>
      </w:r>
      <w:r w:rsidRPr="00D255C3">
        <w:rPr>
          <w:rFonts w:eastAsia="Calibri"/>
          <w:b/>
          <w:bCs/>
          <w:spacing w:val="-1"/>
          <w:szCs w:val="24"/>
        </w:rPr>
        <w:t>Federal</w:t>
      </w:r>
      <w:r w:rsidRPr="00D255C3">
        <w:rPr>
          <w:rFonts w:eastAsia="Calibri"/>
          <w:b/>
          <w:bCs/>
          <w:spacing w:val="-6"/>
          <w:szCs w:val="24"/>
        </w:rPr>
        <w:t xml:space="preserve"> </w:t>
      </w:r>
      <w:r w:rsidRPr="00D255C3">
        <w:rPr>
          <w:rFonts w:eastAsia="Calibri"/>
          <w:b/>
          <w:bCs/>
          <w:szCs w:val="24"/>
        </w:rPr>
        <w:t>Information</w:t>
      </w:r>
      <w:r w:rsidRPr="00D255C3">
        <w:rPr>
          <w:rFonts w:eastAsia="Calibri"/>
          <w:b/>
          <w:bCs/>
          <w:spacing w:val="-8"/>
          <w:szCs w:val="24"/>
        </w:rPr>
        <w:t xml:space="preserve"> </w:t>
      </w:r>
      <w:r w:rsidRPr="00D255C3">
        <w:rPr>
          <w:rFonts w:eastAsia="Calibri"/>
          <w:b/>
          <w:bCs/>
          <w:szCs w:val="24"/>
        </w:rPr>
        <w:t>Technology</w:t>
      </w:r>
      <w:r w:rsidRPr="00D255C3">
        <w:rPr>
          <w:rFonts w:eastAsia="Calibri"/>
          <w:b/>
          <w:bCs/>
          <w:spacing w:val="26"/>
          <w:w w:val="99"/>
          <w:szCs w:val="24"/>
        </w:rPr>
        <w:t xml:space="preserve"> </w:t>
      </w:r>
      <w:r w:rsidRPr="00D255C3">
        <w:rPr>
          <w:rFonts w:eastAsia="Calibri"/>
          <w:b/>
          <w:bCs/>
          <w:spacing w:val="-1"/>
          <w:szCs w:val="24"/>
        </w:rPr>
        <w:t>Management</w:t>
      </w:r>
      <w:r>
        <w:rPr>
          <w:rFonts w:eastAsia="Calibri"/>
          <w:b/>
          <w:bCs/>
          <w:spacing w:val="-1"/>
          <w:szCs w:val="24"/>
        </w:rPr>
        <w:t>, Dec 9, 2010</w:t>
      </w:r>
      <w:r w:rsidRPr="00D255C3">
        <w:rPr>
          <w:rFonts w:eastAsia="Calibri"/>
          <w:b/>
          <w:bCs/>
          <w:spacing w:val="-1"/>
          <w:szCs w:val="24"/>
        </w:rPr>
        <w:t>:</w:t>
      </w:r>
      <w:r w:rsidRPr="00D255C3">
        <w:rPr>
          <w:rFonts w:eastAsia="Calibri"/>
          <w:b/>
          <w:bCs/>
          <w:spacing w:val="-5"/>
          <w:szCs w:val="24"/>
        </w:rPr>
        <w:t xml:space="preserve"> </w:t>
      </w:r>
      <w:r>
        <w:rPr>
          <w:rStyle w:val="FootnoteReference"/>
          <w:rFonts w:eastAsia="Calibri"/>
          <w:b/>
          <w:bCs/>
          <w:spacing w:val="-5"/>
          <w:szCs w:val="24"/>
        </w:rPr>
        <w:footnoteReference w:id="16"/>
      </w:r>
      <w:r>
        <w:rPr>
          <w:rFonts w:eastAsia="Calibri"/>
          <w:b/>
          <w:bCs/>
          <w:spacing w:val="-5"/>
          <w:szCs w:val="24"/>
        </w:rPr>
        <w:t xml:space="preserve"> </w:t>
      </w:r>
      <w:r>
        <w:rPr>
          <w:rFonts w:eastAsia="Calibri"/>
          <w:spacing w:val="-1"/>
          <w:szCs w:val="24"/>
        </w:rPr>
        <w:t>S</w:t>
      </w:r>
      <w:r w:rsidRPr="00D255C3">
        <w:rPr>
          <w:rFonts w:eastAsia="Calibri"/>
          <w:spacing w:val="-1"/>
          <w:szCs w:val="24"/>
        </w:rPr>
        <w:t>pecifies</w:t>
      </w:r>
      <w:r w:rsidRPr="00D255C3">
        <w:rPr>
          <w:rFonts w:eastAsia="Calibri"/>
          <w:spacing w:val="-4"/>
          <w:szCs w:val="24"/>
        </w:rPr>
        <w:t xml:space="preserve"> </w:t>
      </w:r>
      <w:r w:rsidRPr="00D255C3">
        <w:rPr>
          <w:rFonts w:eastAsia="Calibri"/>
          <w:szCs w:val="24"/>
        </w:rPr>
        <w:t>that</w:t>
      </w:r>
      <w:r w:rsidRPr="00D255C3">
        <w:rPr>
          <w:rFonts w:eastAsia="Calibri"/>
          <w:spacing w:val="-4"/>
          <w:szCs w:val="24"/>
        </w:rPr>
        <w:t xml:space="preserve"> </w:t>
      </w:r>
      <w:r w:rsidRPr="00D255C3">
        <w:rPr>
          <w:rFonts w:eastAsia="Calibri"/>
          <w:szCs w:val="24"/>
        </w:rPr>
        <w:t>“Agencies</w:t>
      </w:r>
      <w:r w:rsidRPr="00D255C3">
        <w:rPr>
          <w:rFonts w:eastAsia="Calibri"/>
          <w:spacing w:val="25"/>
          <w:w w:val="99"/>
          <w:szCs w:val="24"/>
        </w:rPr>
        <w:t xml:space="preserve"> </w:t>
      </w:r>
      <w:r w:rsidRPr="00D255C3">
        <w:rPr>
          <w:rFonts w:eastAsia="Calibri"/>
          <w:spacing w:val="-1"/>
          <w:szCs w:val="24"/>
        </w:rPr>
        <w:t>must</w:t>
      </w:r>
      <w:r w:rsidRPr="00D255C3">
        <w:rPr>
          <w:rFonts w:eastAsia="Calibri"/>
          <w:spacing w:val="-3"/>
          <w:szCs w:val="24"/>
        </w:rPr>
        <w:t xml:space="preserve"> </w:t>
      </w:r>
      <w:r w:rsidRPr="00D255C3">
        <w:rPr>
          <w:rFonts w:eastAsia="Calibri"/>
          <w:spacing w:val="-1"/>
          <w:szCs w:val="24"/>
        </w:rPr>
        <w:t>focus on</w:t>
      </w:r>
      <w:r w:rsidRPr="00D255C3">
        <w:rPr>
          <w:rFonts w:eastAsia="Calibri"/>
          <w:spacing w:val="-3"/>
          <w:szCs w:val="24"/>
        </w:rPr>
        <w:t xml:space="preserve"> </w:t>
      </w:r>
      <w:r w:rsidRPr="00D255C3">
        <w:rPr>
          <w:rFonts w:eastAsia="Calibri"/>
          <w:szCs w:val="24"/>
        </w:rPr>
        <w:t>consolidating</w:t>
      </w:r>
      <w:r w:rsidRPr="00D255C3">
        <w:rPr>
          <w:rFonts w:eastAsia="Calibri"/>
          <w:spacing w:val="-1"/>
          <w:szCs w:val="24"/>
        </w:rPr>
        <w:t xml:space="preserve"> existing</w:t>
      </w:r>
      <w:r w:rsidRPr="00D255C3">
        <w:rPr>
          <w:rFonts w:eastAsia="Calibri"/>
          <w:spacing w:val="-2"/>
          <w:szCs w:val="24"/>
        </w:rPr>
        <w:t xml:space="preserve"> </w:t>
      </w:r>
      <w:r w:rsidRPr="00D255C3">
        <w:rPr>
          <w:rFonts w:eastAsia="Calibri"/>
          <w:spacing w:val="-1"/>
          <w:szCs w:val="24"/>
        </w:rPr>
        <w:t>data</w:t>
      </w:r>
      <w:r w:rsidRPr="00D255C3">
        <w:rPr>
          <w:rFonts w:eastAsia="Calibri"/>
          <w:spacing w:val="-2"/>
          <w:szCs w:val="24"/>
        </w:rPr>
        <w:t xml:space="preserve"> </w:t>
      </w:r>
      <w:r w:rsidRPr="00D255C3">
        <w:rPr>
          <w:rFonts w:eastAsia="Calibri"/>
          <w:szCs w:val="24"/>
        </w:rPr>
        <w:t>centers,</w:t>
      </w:r>
      <w:r w:rsidRPr="00D255C3">
        <w:rPr>
          <w:rFonts w:eastAsia="Calibri"/>
          <w:spacing w:val="-3"/>
          <w:szCs w:val="24"/>
        </w:rPr>
        <w:t xml:space="preserve"> </w:t>
      </w:r>
      <w:r w:rsidRPr="00D255C3">
        <w:rPr>
          <w:rFonts w:eastAsia="Calibri"/>
          <w:szCs w:val="24"/>
        </w:rPr>
        <w:t>reducing</w:t>
      </w:r>
      <w:r w:rsidRPr="00D255C3">
        <w:rPr>
          <w:rFonts w:eastAsia="Calibri"/>
          <w:spacing w:val="-3"/>
          <w:szCs w:val="24"/>
        </w:rPr>
        <w:t xml:space="preserve"> </w:t>
      </w:r>
      <w:r w:rsidRPr="00D255C3">
        <w:rPr>
          <w:rFonts w:eastAsia="Calibri"/>
          <w:spacing w:val="-1"/>
          <w:szCs w:val="24"/>
        </w:rPr>
        <w:t>the</w:t>
      </w:r>
      <w:r w:rsidRPr="00D255C3">
        <w:rPr>
          <w:rFonts w:eastAsia="Calibri"/>
          <w:spacing w:val="-2"/>
          <w:szCs w:val="24"/>
        </w:rPr>
        <w:t xml:space="preserve"> </w:t>
      </w:r>
      <w:r w:rsidRPr="00D255C3">
        <w:rPr>
          <w:rFonts w:eastAsia="Calibri"/>
          <w:szCs w:val="24"/>
        </w:rPr>
        <w:t>need</w:t>
      </w:r>
      <w:r w:rsidRPr="00D255C3">
        <w:rPr>
          <w:rFonts w:eastAsia="Calibri"/>
          <w:spacing w:val="-3"/>
          <w:szCs w:val="24"/>
        </w:rPr>
        <w:t xml:space="preserve"> </w:t>
      </w:r>
      <w:r w:rsidRPr="00D255C3">
        <w:rPr>
          <w:rFonts w:eastAsia="Calibri"/>
          <w:spacing w:val="-1"/>
          <w:szCs w:val="24"/>
        </w:rPr>
        <w:t>for</w:t>
      </w:r>
      <w:r w:rsidRPr="00D255C3">
        <w:rPr>
          <w:rFonts w:eastAsia="Calibri"/>
          <w:spacing w:val="-3"/>
          <w:szCs w:val="24"/>
        </w:rPr>
        <w:t xml:space="preserve"> </w:t>
      </w:r>
      <w:r w:rsidRPr="00D255C3">
        <w:rPr>
          <w:rFonts w:eastAsia="Calibri"/>
          <w:spacing w:val="-1"/>
          <w:szCs w:val="24"/>
        </w:rPr>
        <w:t>infrastructure</w:t>
      </w:r>
      <w:r w:rsidRPr="00D255C3">
        <w:rPr>
          <w:rFonts w:eastAsia="Calibri"/>
          <w:spacing w:val="49"/>
          <w:w w:val="99"/>
          <w:szCs w:val="24"/>
        </w:rPr>
        <w:t xml:space="preserve"> </w:t>
      </w:r>
      <w:r w:rsidRPr="00D255C3">
        <w:rPr>
          <w:rFonts w:eastAsia="Calibri"/>
          <w:szCs w:val="24"/>
        </w:rPr>
        <w:t>growth</w:t>
      </w:r>
      <w:r w:rsidRPr="00D255C3">
        <w:rPr>
          <w:rFonts w:eastAsia="Calibri"/>
          <w:spacing w:val="-3"/>
          <w:szCs w:val="24"/>
        </w:rPr>
        <w:t xml:space="preserve"> </w:t>
      </w:r>
      <w:r w:rsidRPr="00D255C3">
        <w:rPr>
          <w:rFonts w:eastAsia="Calibri"/>
          <w:spacing w:val="-1"/>
          <w:szCs w:val="24"/>
        </w:rPr>
        <w:t>by implementing</w:t>
      </w:r>
      <w:r w:rsidRPr="00D255C3">
        <w:rPr>
          <w:rFonts w:eastAsia="Calibri"/>
          <w:spacing w:val="-2"/>
          <w:szCs w:val="24"/>
        </w:rPr>
        <w:t xml:space="preserve"> </w:t>
      </w:r>
      <w:r w:rsidRPr="00D255C3">
        <w:rPr>
          <w:rFonts w:eastAsia="Calibri"/>
          <w:szCs w:val="24"/>
        </w:rPr>
        <w:t>a</w:t>
      </w:r>
      <w:r w:rsidRPr="00D255C3">
        <w:rPr>
          <w:rFonts w:eastAsia="Calibri"/>
          <w:spacing w:val="-1"/>
          <w:szCs w:val="24"/>
        </w:rPr>
        <w:t xml:space="preserve"> Cloud</w:t>
      </w:r>
      <w:r w:rsidRPr="00D255C3">
        <w:rPr>
          <w:rFonts w:eastAsia="Calibri"/>
          <w:spacing w:val="-2"/>
          <w:szCs w:val="24"/>
        </w:rPr>
        <w:t xml:space="preserve"> </w:t>
      </w:r>
      <w:r w:rsidRPr="00D255C3">
        <w:rPr>
          <w:rFonts w:eastAsia="Calibri"/>
          <w:spacing w:val="-1"/>
          <w:szCs w:val="24"/>
        </w:rPr>
        <w:t xml:space="preserve">First policy for </w:t>
      </w:r>
      <w:r w:rsidRPr="00D255C3">
        <w:rPr>
          <w:rFonts w:eastAsia="Calibri"/>
          <w:szCs w:val="24"/>
        </w:rPr>
        <w:t>services,</w:t>
      </w:r>
      <w:r w:rsidRPr="00D255C3">
        <w:rPr>
          <w:rFonts w:eastAsia="Calibri"/>
          <w:spacing w:val="-2"/>
          <w:szCs w:val="24"/>
        </w:rPr>
        <w:t xml:space="preserve"> </w:t>
      </w:r>
      <w:r w:rsidRPr="00D255C3">
        <w:rPr>
          <w:rFonts w:eastAsia="Calibri"/>
          <w:spacing w:val="-1"/>
          <w:szCs w:val="24"/>
        </w:rPr>
        <w:t>and</w:t>
      </w:r>
      <w:r w:rsidRPr="00D255C3">
        <w:rPr>
          <w:rFonts w:eastAsia="Calibri"/>
          <w:spacing w:val="-3"/>
          <w:szCs w:val="24"/>
        </w:rPr>
        <w:t xml:space="preserve"> </w:t>
      </w:r>
      <w:r w:rsidRPr="00D255C3">
        <w:rPr>
          <w:rFonts w:eastAsia="Calibri"/>
          <w:szCs w:val="24"/>
        </w:rPr>
        <w:t>increasing</w:t>
      </w:r>
      <w:r w:rsidRPr="00D255C3">
        <w:rPr>
          <w:rFonts w:eastAsia="Calibri"/>
          <w:spacing w:val="-2"/>
          <w:szCs w:val="24"/>
        </w:rPr>
        <w:t xml:space="preserve"> </w:t>
      </w:r>
      <w:r w:rsidRPr="00D255C3">
        <w:rPr>
          <w:rFonts w:eastAsia="Calibri"/>
          <w:spacing w:val="-1"/>
          <w:szCs w:val="24"/>
        </w:rPr>
        <w:t>the</w:t>
      </w:r>
      <w:r w:rsidRPr="00D255C3">
        <w:rPr>
          <w:rFonts w:eastAsia="Calibri"/>
          <w:spacing w:val="-2"/>
          <w:szCs w:val="24"/>
        </w:rPr>
        <w:t xml:space="preserve"> </w:t>
      </w:r>
      <w:r w:rsidRPr="00D255C3">
        <w:rPr>
          <w:rFonts w:eastAsia="Calibri"/>
          <w:spacing w:val="-1"/>
          <w:szCs w:val="24"/>
        </w:rPr>
        <w:t>use of</w:t>
      </w:r>
      <w:r w:rsidRPr="00D255C3">
        <w:rPr>
          <w:rFonts w:eastAsia="Calibri"/>
          <w:spacing w:val="36"/>
          <w:szCs w:val="24"/>
        </w:rPr>
        <w:t xml:space="preserve"> </w:t>
      </w:r>
      <w:r w:rsidRPr="00D255C3">
        <w:rPr>
          <w:rFonts w:eastAsia="Calibri"/>
          <w:szCs w:val="24"/>
        </w:rPr>
        <w:t>available</w:t>
      </w:r>
      <w:r w:rsidRPr="00D255C3">
        <w:rPr>
          <w:rFonts w:eastAsia="Calibri"/>
          <w:spacing w:val="-3"/>
          <w:szCs w:val="24"/>
        </w:rPr>
        <w:t xml:space="preserve"> </w:t>
      </w:r>
      <w:r w:rsidRPr="00D255C3">
        <w:rPr>
          <w:rFonts w:eastAsia="Calibri"/>
          <w:spacing w:val="-1"/>
          <w:szCs w:val="24"/>
        </w:rPr>
        <w:t>cloud</w:t>
      </w:r>
      <w:r w:rsidRPr="00D255C3">
        <w:rPr>
          <w:rFonts w:eastAsia="Calibri"/>
          <w:spacing w:val="-2"/>
          <w:szCs w:val="24"/>
        </w:rPr>
        <w:t xml:space="preserve"> </w:t>
      </w:r>
      <w:r w:rsidRPr="00D255C3">
        <w:rPr>
          <w:rFonts w:eastAsia="Calibri"/>
          <w:szCs w:val="24"/>
        </w:rPr>
        <w:t>and</w:t>
      </w:r>
      <w:r w:rsidRPr="00D255C3">
        <w:rPr>
          <w:rFonts w:eastAsia="Calibri"/>
          <w:spacing w:val="-3"/>
          <w:szCs w:val="24"/>
        </w:rPr>
        <w:t xml:space="preserve"> </w:t>
      </w:r>
      <w:r w:rsidRPr="00D255C3">
        <w:rPr>
          <w:rFonts w:eastAsia="Calibri"/>
          <w:szCs w:val="24"/>
        </w:rPr>
        <w:t>shared</w:t>
      </w:r>
      <w:r w:rsidRPr="00D255C3">
        <w:rPr>
          <w:rFonts w:eastAsia="Calibri"/>
          <w:spacing w:val="-3"/>
          <w:szCs w:val="24"/>
        </w:rPr>
        <w:t xml:space="preserve"> </w:t>
      </w:r>
      <w:r w:rsidRPr="00D255C3">
        <w:rPr>
          <w:rFonts w:eastAsia="Calibri"/>
          <w:spacing w:val="-1"/>
          <w:szCs w:val="24"/>
        </w:rPr>
        <w:t>services”</w:t>
      </w:r>
      <w:r>
        <w:rPr>
          <w:rFonts w:eastAsia="Calibri"/>
          <w:spacing w:val="-1"/>
          <w:szCs w:val="24"/>
        </w:rPr>
        <w:t>.</w:t>
      </w:r>
    </w:p>
    <w:p w:rsidR="00AD0D2A" w:rsidRPr="00D255C3" w:rsidRDefault="00AD0D2A" w:rsidP="00AD0D2A">
      <w:r w:rsidRPr="00D255C3">
        <w:rPr>
          <w:rFonts w:eastAsia="Calibri"/>
          <w:b/>
          <w:bCs/>
        </w:rPr>
        <w:lastRenderedPageBreak/>
        <w:t>Federal</w:t>
      </w:r>
      <w:r w:rsidRPr="00D255C3">
        <w:rPr>
          <w:rFonts w:eastAsia="Calibri"/>
          <w:b/>
          <w:bCs/>
          <w:spacing w:val="-8"/>
        </w:rPr>
        <w:t xml:space="preserve"> </w:t>
      </w:r>
      <w:r w:rsidRPr="00D255C3">
        <w:rPr>
          <w:rFonts w:eastAsia="Calibri"/>
          <w:b/>
          <w:bCs/>
        </w:rPr>
        <w:t>Risk</w:t>
      </w:r>
      <w:r w:rsidRPr="00D255C3">
        <w:rPr>
          <w:rFonts w:eastAsia="Calibri"/>
          <w:b/>
          <w:bCs/>
          <w:spacing w:val="-9"/>
        </w:rPr>
        <w:t xml:space="preserve"> </w:t>
      </w:r>
      <w:r w:rsidRPr="00D255C3">
        <w:rPr>
          <w:rFonts w:eastAsia="Calibri"/>
          <w:b/>
          <w:bCs/>
        </w:rPr>
        <w:t>and</w:t>
      </w:r>
      <w:r w:rsidRPr="00D255C3">
        <w:rPr>
          <w:rFonts w:eastAsia="Calibri"/>
          <w:b/>
          <w:bCs/>
          <w:spacing w:val="-8"/>
        </w:rPr>
        <w:t xml:space="preserve"> </w:t>
      </w:r>
      <w:r w:rsidRPr="00D255C3">
        <w:rPr>
          <w:rFonts w:eastAsia="Calibri"/>
          <w:b/>
          <w:bCs/>
        </w:rPr>
        <w:t>Authorization</w:t>
      </w:r>
      <w:r w:rsidRPr="00D255C3">
        <w:rPr>
          <w:rFonts w:eastAsia="Calibri"/>
          <w:b/>
          <w:bCs/>
          <w:spacing w:val="-8"/>
        </w:rPr>
        <w:t xml:space="preserve"> </w:t>
      </w:r>
      <w:r w:rsidRPr="00D255C3">
        <w:rPr>
          <w:rFonts w:eastAsia="Calibri"/>
          <w:b/>
          <w:bCs/>
        </w:rPr>
        <w:t>Management</w:t>
      </w:r>
      <w:r w:rsidRPr="00D255C3">
        <w:rPr>
          <w:rFonts w:eastAsia="Calibri"/>
          <w:b/>
          <w:bCs/>
          <w:spacing w:val="-8"/>
        </w:rPr>
        <w:t xml:space="preserve"> </w:t>
      </w:r>
      <w:r w:rsidRPr="00D255C3">
        <w:rPr>
          <w:rFonts w:eastAsia="Calibri"/>
          <w:b/>
          <w:bCs/>
          <w:spacing w:val="-1"/>
        </w:rPr>
        <w:t>Program</w:t>
      </w:r>
      <w:r w:rsidRPr="00D255C3">
        <w:rPr>
          <w:rFonts w:eastAsia="Calibri"/>
          <w:b/>
          <w:bCs/>
          <w:spacing w:val="-7"/>
        </w:rPr>
        <w:t xml:space="preserve"> </w:t>
      </w:r>
      <w:r w:rsidRPr="00D255C3">
        <w:rPr>
          <w:rFonts w:eastAsia="Calibri"/>
          <w:b/>
          <w:bCs/>
          <w:spacing w:val="-1"/>
        </w:rPr>
        <w:t>(</w:t>
      </w:r>
      <w:proofErr w:type="spellStart"/>
      <w:r w:rsidRPr="00D255C3">
        <w:rPr>
          <w:rFonts w:eastAsia="Calibri"/>
          <w:b/>
          <w:bCs/>
          <w:spacing w:val="-1"/>
        </w:rPr>
        <w:t>FedRAMP</w:t>
      </w:r>
      <w:proofErr w:type="spellEnd"/>
      <w:r w:rsidRPr="00D255C3">
        <w:rPr>
          <w:rFonts w:eastAsia="Calibri"/>
          <w:b/>
          <w:bCs/>
          <w:spacing w:val="-1"/>
        </w:rPr>
        <w:t>):</w:t>
      </w:r>
      <w:r w:rsidRPr="00D255C3">
        <w:rPr>
          <w:rFonts w:eastAsia="Calibri"/>
          <w:b/>
          <w:bCs/>
          <w:spacing w:val="40"/>
        </w:rPr>
        <w:t xml:space="preserve"> </w:t>
      </w:r>
      <w:r>
        <w:rPr>
          <w:rStyle w:val="FootnoteReference"/>
          <w:rFonts w:eastAsia="Calibri"/>
          <w:b/>
          <w:bCs/>
          <w:spacing w:val="40"/>
        </w:rPr>
        <w:footnoteReference w:id="17"/>
      </w:r>
      <w:r>
        <w:rPr>
          <w:rFonts w:eastAsia="Calibri"/>
          <w:b/>
          <w:bCs/>
          <w:spacing w:val="40"/>
        </w:rPr>
        <w:t xml:space="preserve"> </w:t>
      </w:r>
      <w:r>
        <w:rPr>
          <w:spacing w:val="-1"/>
        </w:rPr>
        <w:t>P</w:t>
      </w:r>
      <w:r w:rsidRPr="00D255C3">
        <w:rPr>
          <w:spacing w:val="-1"/>
        </w:rPr>
        <w:t>rovides</w:t>
      </w:r>
      <w:r w:rsidRPr="00D255C3">
        <w:rPr>
          <w:spacing w:val="-3"/>
        </w:rPr>
        <w:t xml:space="preserve"> </w:t>
      </w:r>
      <w:r w:rsidRPr="00D255C3">
        <w:rPr>
          <w:spacing w:val="-1"/>
        </w:rPr>
        <w:t xml:space="preserve">joint </w:t>
      </w:r>
      <w:r w:rsidRPr="00D255C3">
        <w:t>"provisional"</w:t>
      </w:r>
      <w:r w:rsidRPr="00D255C3">
        <w:rPr>
          <w:spacing w:val="-3"/>
        </w:rPr>
        <w:t xml:space="preserve"> </w:t>
      </w:r>
      <w:r w:rsidRPr="00D255C3">
        <w:t>authorizations</w:t>
      </w:r>
      <w:r w:rsidRPr="00D255C3">
        <w:rPr>
          <w:spacing w:val="-1"/>
        </w:rPr>
        <w:t xml:space="preserve"> </w:t>
      </w:r>
      <w:r w:rsidRPr="00D255C3">
        <w:t>and</w:t>
      </w:r>
      <w:r w:rsidRPr="00D255C3">
        <w:rPr>
          <w:spacing w:val="-3"/>
        </w:rPr>
        <w:t xml:space="preserve"> </w:t>
      </w:r>
      <w:r w:rsidRPr="00D255C3">
        <w:t>continuous</w:t>
      </w:r>
      <w:r w:rsidRPr="00D255C3">
        <w:rPr>
          <w:spacing w:val="30"/>
        </w:rPr>
        <w:t xml:space="preserve"> </w:t>
      </w:r>
      <w:r w:rsidRPr="00D255C3">
        <w:t>security</w:t>
      </w:r>
      <w:r w:rsidRPr="00D255C3">
        <w:rPr>
          <w:spacing w:val="-6"/>
        </w:rPr>
        <w:t xml:space="preserve"> </w:t>
      </w:r>
      <w:r w:rsidRPr="00D255C3">
        <w:rPr>
          <w:spacing w:val="-1"/>
        </w:rPr>
        <w:t>monitoring</w:t>
      </w:r>
      <w:r w:rsidRPr="00D255C3">
        <w:rPr>
          <w:spacing w:val="-6"/>
        </w:rPr>
        <w:t xml:space="preserve"> </w:t>
      </w:r>
      <w:r w:rsidRPr="00D255C3">
        <w:t>services</w:t>
      </w:r>
      <w:r w:rsidRPr="00D255C3">
        <w:rPr>
          <w:spacing w:val="-6"/>
        </w:rPr>
        <w:t xml:space="preserve"> </w:t>
      </w:r>
      <w:r w:rsidRPr="00D255C3">
        <w:rPr>
          <w:spacing w:val="-1"/>
        </w:rPr>
        <w:t>applicable</w:t>
      </w:r>
      <w:r w:rsidRPr="00D255C3">
        <w:rPr>
          <w:spacing w:val="-5"/>
        </w:rPr>
        <w:t xml:space="preserve"> </w:t>
      </w:r>
      <w:r w:rsidRPr="00D255C3">
        <w:t>to</w:t>
      </w:r>
      <w:r w:rsidRPr="00D255C3">
        <w:rPr>
          <w:spacing w:val="-5"/>
        </w:rPr>
        <w:t xml:space="preserve"> </w:t>
      </w:r>
      <w:r w:rsidRPr="00D255C3">
        <w:rPr>
          <w:spacing w:val="-1"/>
        </w:rPr>
        <w:t>“Executive</w:t>
      </w:r>
      <w:r w:rsidRPr="00D255C3">
        <w:rPr>
          <w:spacing w:val="-3"/>
        </w:rPr>
        <w:t xml:space="preserve"> </w:t>
      </w:r>
      <w:r w:rsidRPr="00D255C3">
        <w:rPr>
          <w:spacing w:val="-1"/>
        </w:rPr>
        <w:t>departments</w:t>
      </w:r>
      <w:r w:rsidRPr="00D255C3">
        <w:rPr>
          <w:spacing w:val="-4"/>
        </w:rPr>
        <w:t xml:space="preserve"> </w:t>
      </w:r>
      <w:r w:rsidRPr="00D255C3">
        <w:t>and</w:t>
      </w:r>
      <w:r w:rsidRPr="00D255C3">
        <w:rPr>
          <w:spacing w:val="-6"/>
        </w:rPr>
        <w:t xml:space="preserve"> </w:t>
      </w:r>
      <w:r w:rsidRPr="00D255C3">
        <w:t>agencies</w:t>
      </w:r>
      <w:r w:rsidRPr="00D255C3">
        <w:rPr>
          <w:spacing w:val="25"/>
          <w:w w:val="99"/>
        </w:rPr>
        <w:t xml:space="preserve"> </w:t>
      </w:r>
      <w:r w:rsidRPr="00D255C3">
        <w:rPr>
          <w:spacing w:val="-1"/>
        </w:rPr>
        <w:t>procuring</w:t>
      </w:r>
      <w:r w:rsidRPr="00D255C3">
        <w:rPr>
          <w:spacing w:val="-4"/>
        </w:rPr>
        <w:t xml:space="preserve"> </w:t>
      </w:r>
      <w:r w:rsidRPr="00D255C3">
        <w:t>commercial</w:t>
      </w:r>
      <w:r w:rsidRPr="00D255C3">
        <w:rPr>
          <w:spacing w:val="-5"/>
        </w:rPr>
        <w:t xml:space="preserve"> </w:t>
      </w:r>
      <w:r w:rsidRPr="00D255C3">
        <w:rPr>
          <w:spacing w:val="-1"/>
        </w:rPr>
        <w:t>and</w:t>
      </w:r>
      <w:r w:rsidRPr="00D255C3">
        <w:rPr>
          <w:spacing w:val="-5"/>
        </w:rPr>
        <w:t xml:space="preserve"> </w:t>
      </w:r>
      <w:r w:rsidRPr="00D255C3">
        <w:rPr>
          <w:spacing w:val="-1"/>
        </w:rPr>
        <w:t>non</w:t>
      </w:r>
      <w:r w:rsidRPr="00D255C3">
        <w:rPr>
          <w:rFonts w:eastAsia="Calibri"/>
          <w:spacing w:val="-1"/>
        </w:rPr>
        <w:t>-</w:t>
      </w:r>
      <w:r w:rsidRPr="00D255C3">
        <w:rPr>
          <w:spacing w:val="-1"/>
        </w:rPr>
        <w:t>commercial</w:t>
      </w:r>
      <w:r w:rsidRPr="00D255C3">
        <w:rPr>
          <w:spacing w:val="-4"/>
        </w:rPr>
        <w:t xml:space="preserve"> </w:t>
      </w:r>
      <w:r w:rsidRPr="00D255C3">
        <w:rPr>
          <w:spacing w:val="-1"/>
        </w:rPr>
        <w:t>cloud</w:t>
      </w:r>
      <w:r w:rsidRPr="00D255C3">
        <w:rPr>
          <w:spacing w:val="-4"/>
        </w:rPr>
        <w:t xml:space="preserve"> </w:t>
      </w:r>
      <w:r w:rsidRPr="00D255C3">
        <w:t>services</w:t>
      </w:r>
      <w:r w:rsidRPr="00D255C3">
        <w:rPr>
          <w:spacing w:val="-6"/>
        </w:rPr>
        <w:t xml:space="preserve"> </w:t>
      </w:r>
      <w:r w:rsidRPr="00D255C3">
        <w:t>that</w:t>
      </w:r>
      <w:r w:rsidRPr="00D255C3">
        <w:rPr>
          <w:spacing w:val="-5"/>
        </w:rPr>
        <w:t xml:space="preserve"> </w:t>
      </w:r>
      <w:r w:rsidRPr="00D255C3">
        <w:t>are</w:t>
      </w:r>
      <w:r w:rsidRPr="00D255C3">
        <w:rPr>
          <w:spacing w:val="-4"/>
        </w:rPr>
        <w:t xml:space="preserve"> </w:t>
      </w:r>
      <w:r w:rsidRPr="00D255C3">
        <w:rPr>
          <w:spacing w:val="-1"/>
        </w:rPr>
        <w:t>provided</w:t>
      </w:r>
      <w:r w:rsidRPr="00D255C3">
        <w:rPr>
          <w:spacing w:val="-4"/>
        </w:rPr>
        <w:t xml:space="preserve"> </w:t>
      </w:r>
      <w:r w:rsidRPr="00D255C3">
        <w:rPr>
          <w:spacing w:val="-1"/>
        </w:rPr>
        <w:t>by</w:t>
      </w:r>
      <w:r w:rsidRPr="00D255C3">
        <w:rPr>
          <w:spacing w:val="28"/>
        </w:rPr>
        <w:t xml:space="preserve"> </w:t>
      </w:r>
      <w:r w:rsidRPr="00D255C3">
        <w:rPr>
          <w:spacing w:val="-1"/>
        </w:rPr>
        <w:t>information</w:t>
      </w:r>
      <w:r w:rsidRPr="00D255C3">
        <w:rPr>
          <w:spacing w:val="-3"/>
        </w:rPr>
        <w:t xml:space="preserve"> </w:t>
      </w:r>
      <w:r w:rsidRPr="00D255C3">
        <w:t>systems</w:t>
      </w:r>
      <w:r w:rsidRPr="00D255C3">
        <w:rPr>
          <w:spacing w:val="-4"/>
        </w:rPr>
        <w:t xml:space="preserve"> </w:t>
      </w:r>
      <w:r w:rsidRPr="00D255C3">
        <w:t>that</w:t>
      </w:r>
      <w:r w:rsidRPr="00D255C3">
        <w:rPr>
          <w:spacing w:val="-3"/>
        </w:rPr>
        <w:t xml:space="preserve"> </w:t>
      </w:r>
      <w:r w:rsidRPr="00D255C3">
        <w:rPr>
          <w:spacing w:val="-1"/>
        </w:rPr>
        <w:t>support</w:t>
      </w:r>
      <w:r w:rsidRPr="00D255C3">
        <w:rPr>
          <w:spacing w:val="-4"/>
        </w:rPr>
        <w:t xml:space="preserve"> </w:t>
      </w:r>
      <w:r w:rsidRPr="00D255C3">
        <w:t>the</w:t>
      </w:r>
      <w:r w:rsidRPr="00D255C3">
        <w:rPr>
          <w:spacing w:val="-3"/>
        </w:rPr>
        <w:t xml:space="preserve"> </w:t>
      </w:r>
      <w:r w:rsidRPr="00D255C3">
        <w:rPr>
          <w:spacing w:val="-1"/>
        </w:rPr>
        <w:t>operations</w:t>
      </w:r>
      <w:r w:rsidRPr="00D255C3">
        <w:rPr>
          <w:spacing w:val="-3"/>
        </w:rPr>
        <w:t xml:space="preserve"> </w:t>
      </w:r>
      <w:r w:rsidRPr="00D255C3">
        <w:t>and</w:t>
      </w:r>
      <w:r w:rsidRPr="00D255C3">
        <w:rPr>
          <w:spacing w:val="-4"/>
        </w:rPr>
        <w:t xml:space="preserve"> </w:t>
      </w:r>
      <w:r w:rsidRPr="00D255C3">
        <w:t>assets</w:t>
      </w:r>
      <w:r w:rsidRPr="00D255C3">
        <w:rPr>
          <w:spacing w:val="-3"/>
        </w:rPr>
        <w:t xml:space="preserve"> </w:t>
      </w:r>
      <w:r w:rsidRPr="00D255C3">
        <w:rPr>
          <w:spacing w:val="-1"/>
        </w:rPr>
        <w:t>of</w:t>
      </w:r>
      <w:r w:rsidRPr="00D255C3">
        <w:rPr>
          <w:spacing w:val="-4"/>
        </w:rPr>
        <w:t xml:space="preserve"> </w:t>
      </w:r>
      <w:r w:rsidRPr="00D255C3">
        <w:rPr>
          <w:spacing w:val="-1"/>
        </w:rPr>
        <w:t>the</w:t>
      </w:r>
      <w:r w:rsidRPr="00D255C3">
        <w:rPr>
          <w:spacing w:val="-3"/>
        </w:rPr>
        <w:t xml:space="preserve"> </w:t>
      </w:r>
      <w:r w:rsidRPr="00D255C3">
        <w:t>departments</w:t>
      </w:r>
      <w:r w:rsidRPr="00D255C3">
        <w:rPr>
          <w:spacing w:val="-3"/>
        </w:rPr>
        <w:t xml:space="preserve"> </w:t>
      </w:r>
      <w:r w:rsidRPr="00D255C3">
        <w:t>and</w:t>
      </w:r>
      <w:r w:rsidRPr="00D255C3">
        <w:rPr>
          <w:spacing w:val="26"/>
        </w:rPr>
        <w:t xml:space="preserve"> </w:t>
      </w:r>
      <w:r w:rsidRPr="00D255C3">
        <w:rPr>
          <w:spacing w:val="-1"/>
        </w:rPr>
        <w:t>agencies,</w:t>
      </w:r>
      <w:r w:rsidRPr="00D255C3">
        <w:rPr>
          <w:spacing w:val="-6"/>
        </w:rPr>
        <w:t xml:space="preserve"> </w:t>
      </w:r>
      <w:r w:rsidRPr="00D255C3">
        <w:rPr>
          <w:spacing w:val="-1"/>
        </w:rPr>
        <w:t>including</w:t>
      </w:r>
      <w:r w:rsidRPr="00D255C3">
        <w:rPr>
          <w:spacing w:val="-5"/>
        </w:rPr>
        <w:t xml:space="preserve"> </w:t>
      </w:r>
      <w:r w:rsidRPr="00D255C3">
        <w:t>systems</w:t>
      </w:r>
      <w:r w:rsidRPr="00D255C3">
        <w:rPr>
          <w:spacing w:val="-6"/>
        </w:rPr>
        <w:t xml:space="preserve"> </w:t>
      </w:r>
      <w:r w:rsidRPr="00D255C3">
        <w:rPr>
          <w:spacing w:val="-1"/>
        </w:rPr>
        <w:t>provided</w:t>
      </w:r>
      <w:r w:rsidRPr="00D255C3">
        <w:rPr>
          <w:spacing w:val="-6"/>
        </w:rPr>
        <w:t xml:space="preserve"> </w:t>
      </w:r>
      <w:r w:rsidRPr="00D255C3">
        <w:rPr>
          <w:spacing w:val="-1"/>
        </w:rPr>
        <w:t>or</w:t>
      </w:r>
      <w:r w:rsidRPr="00D255C3">
        <w:rPr>
          <w:spacing w:val="-5"/>
        </w:rPr>
        <w:t xml:space="preserve"> </w:t>
      </w:r>
      <w:r w:rsidRPr="00D255C3">
        <w:t>managed</w:t>
      </w:r>
      <w:r w:rsidRPr="00D255C3">
        <w:rPr>
          <w:spacing w:val="-6"/>
        </w:rPr>
        <w:t xml:space="preserve"> </w:t>
      </w:r>
      <w:r w:rsidRPr="00D255C3">
        <w:rPr>
          <w:spacing w:val="-1"/>
        </w:rPr>
        <w:t>by</w:t>
      </w:r>
      <w:r w:rsidRPr="00D255C3">
        <w:rPr>
          <w:spacing w:val="-5"/>
        </w:rPr>
        <w:t xml:space="preserve"> </w:t>
      </w:r>
      <w:r w:rsidRPr="00D255C3">
        <w:rPr>
          <w:spacing w:val="-1"/>
        </w:rPr>
        <w:t>other</w:t>
      </w:r>
      <w:r w:rsidRPr="00D255C3">
        <w:rPr>
          <w:spacing w:val="-5"/>
        </w:rPr>
        <w:t xml:space="preserve"> </w:t>
      </w:r>
      <w:r w:rsidRPr="00D255C3">
        <w:rPr>
          <w:spacing w:val="-1"/>
        </w:rPr>
        <w:t>departments</w:t>
      </w:r>
      <w:r w:rsidRPr="00D255C3">
        <w:rPr>
          <w:spacing w:val="-5"/>
        </w:rPr>
        <w:t xml:space="preserve"> </w:t>
      </w:r>
      <w:r w:rsidRPr="00D255C3">
        <w:rPr>
          <w:spacing w:val="-1"/>
        </w:rPr>
        <w:t>or</w:t>
      </w:r>
      <w:r w:rsidRPr="00D255C3">
        <w:rPr>
          <w:spacing w:val="-5"/>
        </w:rPr>
        <w:t xml:space="preserve"> </w:t>
      </w:r>
      <w:r w:rsidRPr="00D255C3">
        <w:t>agencies,</w:t>
      </w:r>
      <w:r w:rsidRPr="00D255C3">
        <w:rPr>
          <w:spacing w:val="29"/>
          <w:w w:val="99"/>
        </w:rPr>
        <w:t xml:space="preserve"> </w:t>
      </w:r>
      <w:r w:rsidRPr="00D255C3">
        <w:t>contractors,</w:t>
      </w:r>
      <w:r w:rsidRPr="00D255C3">
        <w:rPr>
          <w:spacing w:val="-9"/>
        </w:rPr>
        <w:t xml:space="preserve"> </w:t>
      </w:r>
      <w:r w:rsidRPr="00D255C3">
        <w:rPr>
          <w:spacing w:val="-1"/>
        </w:rPr>
        <w:t>or</w:t>
      </w:r>
      <w:r w:rsidRPr="00D255C3">
        <w:rPr>
          <w:spacing w:val="-6"/>
        </w:rPr>
        <w:t xml:space="preserve"> </w:t>
      </w:r>
      <w:r w:rsidRPr="00D255C3">
        <w:rPr>
          <w:spacing w:val="-1"/>
        </w:rPr>
        <w:t>other</w:t>
      </w:r>
      <w:r w:rsidRPr="00D255C3">
        <w:rPr>
          <w:spacing w:val="-7"/>
        </w:rPr>
        <w:t xml:space="preserve"> </w:t>
      </w:r>
      <w:r w:rsidRPr="00D255C3">
        <w:t>sources”</w:t>
      </w:r>
      <w:r>
        <w:t>.</w:t>
      </w:r>
    </w:p>
    <w:p w:rsidR="00AD0D2A" w:rsidRDefault="00AD0D2A" w:rsidP="00AD0D2A">
      <w:pPr>
        <w:rPr>
          <w:spacing w:val="-1"/>
        </w:rPr>
      </w:pPr>
      <w:r w:rsidRPr="004C7968">
        <w:rPr>
          <w:rFonts w:eastAsia="Calibri"/>
          <w:b/>
          <w:bCs/>
        </w:rPr>
        <w:t>Federal Cloud Computing Strategy</w:t>
      </w:r>
      <w:r>
        <w:rPr>
          <w:rFonts w:eastAsia="Calibri"/>
          <w:b/>
          <w:bCs/>
        </w:rPr>
        <w:t>, Feb 8, 2011</w:t>
      </w:r>
      <w:r w:rsidRPr="004C7968">
        <w:rPr>
          <w:rFonts w:eastAsia="Calibri"/>
          <w:b/>
          <w:bCs/>
        </w:rPr>
        <w:t xml:space="preserve">: </w:t>
      </w:r>
      <w:r>
        <w:rPr>
          <w:rStyle w:val="FootnoteReference"/>
          <w:rFonts w:eastAsia="Calibri"/>
          <w:b/>
          <w:bCs/>
        </w:rPr>
        <w:footnoteReference w:id="18"/>
      </w:r>
      <w:r w:rsidRPr="002E559B">
        <w:rPr>
          <w:rFonts w:eastAsia="Calibri"/>
          <w:b/>
          <w:bCs/>
        </w:rPr>
        <w:t xml:space="preserve"> </w:t>
      </w:r>
      <w:r w:rsidRPr="002E559B">
        <w:rPr>
          <w:spacing w:val="-1"/>
        </w:rPr>
        <w:t>Intend</w:t>
      </w:r>
      <w:r>
        <w:rPr>
          <w:spacing w:val="-1"/>
        </w:rPr>
        <w:t>s</w:t>
      </w:r>
      <w:r w:rsidRPr="002E559B">
        <w:rPr>
          <w:spacing w:val="-1"/>
        </w:rPr>
        <w:t xml:space="preserve"> to articulate the benefits, considerations, and trade-offs of cloud computing</w:t>
      </w:r>
      <w:r>
        <w:rPr>
          <w:spacing w:val="-1"/>
        </w:rPr>
        <w:t xml:space="preserve"> by:</w:t>
      </w:r>
      <w:r w:rsidRPr="002E559B">
        <w:rPr>
          <w:spacing w:val="-1"/>
        </w:rPr>
        <w:t xml:space="preserve"> provid</w:t>
      </w:r>
      <w:r>
        <w:rPr>
          <w:spacing w:val="-1"/>
        </w:rPr>
        <w:t>ing</w:t>
      </w:r>
      <w:r w:rsidRPr="002E559B">
        <w:rPr>
          <w:spacing w:val="-1"/>
        </w:rPr>
        <w:t xml:space="preserve"> a decision framework and case examples to support agencies in migrating towards cloud computing; highlight</w:t>
      </w:r>
      <w:r>
        <w:rPr>
          <w:spacing w:val="-1"/>
        </w:rPr>
        <w:t>ing</w:t>
      </w:r>
      <w:r w:rsidRPr="002E559B">
        <w:rPr>
          <w:spacing w:val="-1"/>
        </w:rPr>
        <w:t xml:space="preserve"> cloud computing implementation resources; </w:t>
      </w:r>
      <w:r>
        <w:rPr>
          <w:spacing w:val="-1"/>
        </w:rPr>
        <w:t xml:space="preserve">and, identifying </w:t>
      </w:r>
      <w:r w:rsidRPr="002E559B">
        <w:rPr>
          <w:spacing w:val="-1"/>
        </w:rPr>
        <w:t xml:space="preserve"> Federal Government activities and roles and responsibilities for catalyzing cloud adoption.</w:t>
      </w:r>
    </w:p>
    <w:p w:rsidR="00AD0D2A" w:rsidRPr="00846A93" w:rsidRDefault="00AD0D2A" w:rsidP="00AD0D2A">
      <w:pPr>
        <w:rPr>
          <w:b/>
          <w:spacing w:val="-1"/>
        </w:rPr>
      </w:pPr>
      <w:r w:rsidRPr="00846A93">
        <w:rPr>
          <w:b/>
          <w:spacing w:val="-1"/>
        </w:rPr>
        <w:t>Pending</w:t>
      </w:r>
      <w:r>
        <w:rPr>
          <w:b/>
          <w:spacing w:val="-1"/>
        </w:rPr>
        <w:t xml:space="preserve"> legislation includes</w:t>
      </w:r>
      <w:r w:rsidRPr="00846A93">
        <w:rPr>
          <w:b/>
          <w:spacing w:val="-1"/>
        </w:rPr>
        <w:t>:</w:t>
      </w:r>
    </w:p>
    <w:p w:rsidR="00380A7A" w:rsidRPr="00AD0D2A" w:rsidRDefault="00AD0D2A" w:rsidP="00380A7A">
      <w:pPr>
        <w:rPr>
          <w:szCs w:val="24"/>
        </w:rPr>
      </w:pPr>
      <w:r w:rsidRPr="0090486F">
        <w:rPr>
          <w:rFonts w:eastAsia="Calibri"/>
          <w:b/>
          <w:szCs w:val="24"/>
        </w:rPr>
        <w:t xml:space="preserve">Cloud Infrastructure Transition Act or Cloud IT Act: </w:t>
      </w:r>
      <w:r>
        <w:rPr>
          <w:rStyle w:val="FootnoteReference"/>
          <w:rFonts w:eastAsia="Calibri"/>
          <w:b/>
          <w:szCs w:val="24"/>
        </w:rPr>
        <w:footnoteReference w:id="19"/>
      </w:r>
      <w:r w:rsidRPr="0090486F">
        <w:rPr>
          <w:szCs w:val="24"/>
        </w:rPr>
        <w:t>Promote innovation and realize the efficiency gains and economic benefits of on-demand computing by accelerating the acquisition and deployment of innovative technology and computing resources thr</w:t>
      </w:r>
      <w:r>
        <w:rPr>
          <w:szCs w:val="24"/>
        </w:rPr>
        <w:t>oughout the Federal Government.</w:t>
      </w:r>
    </w:p>
    <w:p w:rsidR="00E37F85" w:rsidRDefault="00E37F85" w:rsidP="00E37F85">
      <w:pPr>
        <w:pStyle w:val="Heading1"/>
      </w:pPr>
      <w:bookmarkStart w:id="10" w:name="_Toc475636832"/>
      <w:r>
        <w:t>Guiding Principles</w:t>
      </w:r>
      <w:bookmarkEnd w:id="10"/>
    </w:p>
    <w:p w:rsidR="00C008FA" w:rsidRPr="00F93FE3" w:rsidRDefault="00C008FA" w:rsidP="00D014DB">
      <w:r w:rsidRPr="00F93FE3">
        <w:t>The</w:t>
      </w:r>
      <w:r w:rsidRPr="00F93FE3">
        <w:rPr>
          <w:spacing w:val="-5"/>
        </w:rPr>
        <w:t xml:space="preserve"> </w:t>
      </w:r>
      <w:r w:rsidRPr="00F93FE3">
        <w:rPr>
          <w:spacing w:val="-1"/>
        </w:rPr>
        <w:t>guiding</w:t>
      </w:r>
      <w:r w:rsidRPr="00F93FE3">
        <w:rPr>
          <w:spacing w:val="2"/>
        </w:rPr>
        <w:t xml:space="preserve"> </w:t>
      </w:r>
      <w:r w:rsidRPr="00F93FE3">
        <w:t>principles associated with</w:t>
      </w:r>
      <w:r w:rsidRPr="00F93FE3">
        <w:rPr>
          <w:spacing w:val="2"/>
        </w:rPr>
        <w:t xml:space="preserve"> </w:t>
      </w:r>
      <w:r w:rsidR="00C616DA">
        <w:rPr>
          <w:spacing w:val="2"/>
        </w:rPr>
        <w:t xml:space="preserve">DHS ECS </w:t>
      </w:r>
      <w:r w:rsidRPr="00F93FE3">
        <w:rPr>
          <w:spacing w:val="-1"/>
        </w:rPr>
        <w:t>are</w:t>
      </w:r>
      <w:r w:rsidRPr="00F93FE3">
        <w:rPr>
          <w:spacing w:val="-3"/>
        </w:rPr>
        <w:t xml:space="preserve"> </w:t>
      </w:r>
      <w:r w:rsidRPr="00F93FE3">
        <w:t>precepts,</w:t>
      </w:r>
      <w:r w:rsidRPr="00F93FE3">
        <w:rPr>
          <w:spacing w:val="-1"/>
        </w:rPr>
        <w:t xml:space="preserve"> rules</w:t>
      </w:r>
      <w:r w:rsidRPr="00F93FE3">
        <w:t xml:space="preserve"> or</w:t>
      </w:r>
      <w:r w:rsidRPr="00F93FE3">
        <w:rPr>
          <w:spacing w:val="-3"/>
        </w:rPr>
        <w:t xml:space="preserve"> </w:t>
      </w:r>
      <w:r w:rsidRPr="00F93FE3">
        <w:rPr>
          <w:spacing w:val="-1"/>
        </w:rPr>
        <w:t>fundamental</w:t>
      </w:r>
      <w:r w:rsidR="00F93FE3">
        <w:rPr>
          <w:spacing w:val="-1"/>
        </w:rPr>
        <w:t xml:space="preserve"> </w:t>
      </w:r>
      <w:r w:rsidRPr="00F93FE3">
        <w:rPr>
          <w:spacing w:val="-1"/>
        </w:rPr>
        <w:t>ideas</w:t>
      </w:r>
      <w:r w:rsidRPr="00F93FE3">
        <w:t xml:space="preserve"> </w:t>
      </w:r>
      <w:r w:rsidRPr="00F93FE3">
        <w:rPr>
          <w:spacing w:val="-1"/>
        </w:rPr>
        <w:t>that</w:t>
      </w:r>
      <w:r w:rsidRPr="00F93FE3">
        <w:t xml:space="preserve"> provide overall</w:t>
      </w:r>
      <w:r w:rsidRPr="00F93FE3">
        <w:rPr>
          <w:spacing w:val="-1"/>
        </w:rPr>
        <w:t xml:space="preserve"> </w:t>
      </w:r>
      <w:r w:rsidRPr="00F93FE3">
        <w:t xml:space="preserve">direction </w:t>
      </w:r>
      <w:r w:rsidRPr="00F93FE3">
        <w:rPr>
          <w:spacing w:val="-1"/>
        </w:rPr>
        <w:t>to</w:t>
      </w:r>
      <w:r w:rsidRPr="00F93FE3">
        <w:rPr>
          <w:spacing w:val="1"/>
        </w:rPr>
        <w:t xml:space="preserve"> </w:t>
      </w:r>
      <w:r w:rsidR="00F93FE3">
        <w:rPr>
          <w:spacing w:val="1"/>
        </w:rPr>
        <w:t>components</w:t>
      </w:r>
      <w:r w:rsidRPr="00F93FE3">
        <w:t>,</w:t>
      </w:r>
      <w:r w:rsidRPr="00F93FE3">
        <w:rPr>
          <w:spacing w:val="1"/>
        </w:rPr>
        <w:t xml:space="preserve"> </w:t>
      </w:r>
      <w:r w:rsidRPr="00F93FE3">
        <w:t>program</w:t>
      </w:r>
      <w:r w:rsidRPr="00F93FE3">
        <w:rPr>
          <w:spacing w:val="1"/>
        </w:rPr>
        <w:t xml:space="preserve"> </w:t>
      </w:r>
      <w:r w:rsidRPr="00F93FE3">
        <w:t>managers and/or application</w:t>
      </w:r>
      <w:r w:rsidR="00F93FE3">
        <w:t xml:space="preserve"> </w:t>
      </w:r>
      <w:r w:rsidRPr="00F93FE3">
        <w:t>owners.</w:t>
      </w:r>
      <w:r w:rsidRPr="00F93FE3">
        <w:rPr>
          <w:spacing w:val="60"/>
        </w:rPr>
        <w:t xml:space="preserve"> </w:t>
      </w:r>
      <w:r w:rsidRPr="00F93FE3">
        <w:t>The</w:t>
      </w:r>
      <w:r w:rsidRPr="00F93FE3">
        <w:rPr>
          <w:spacing w:val="-5"/>
        </w:rPr>
        <w:t xml:space="preserve"> </w:t>
      </w:r>
      <w:r w:rsidRPr="00F93FE3">
        <w:rPr>
          <w:spacing w:val="-1"/>
        </w:rPr>
        <w:t>following</w:t>
      </w:r>
      <w:r w:rsidRPr="00F93FE3">
        <w:rPr>
          <w:spacing w:val="2"/>
        </w:rPr>
        <w:t xml:space="preserve"> </w:t>
      </w:r>
      <w:r w:rsidRPr="00F93FE3">
        <w:t xml:space="preserve">principles </w:t>
      </w:r>
      <w:r w:rsidRPr="00F93FE3">
        <w:rPr>
          <w:spacing w:val="-1"/>
        </w:rPr>
        <w:t>embody</w:t>
      </w:r>
      <w:r w:rsidRPr="00F93FE3">
        <w:rPr>
          <w:spacing w:val="-3"/>
        </w:rPr>
        <w:t xml:space="preserve"> </w:t>
      </w:r>
      <w:r w:rsidRPr="00F93FE3">
        <w:rPr>
          <w:spacing w:val="-1"/>
        </w:rPr>
        <w:t>the</w:t>
      </w:r>
      <w:r w:rsidRPr="00F93FE3">
        <w:t xml:space="preserve"> key</w:t>
      </w:r>
      <w:r w:rsidRPr="00F93FE3">
        <w:rPr>
          <w:spacing w:val="-4"/>
        </w:rPr>
        <w:t xml:space="preserve"> </w:t>
      </w:r>
      <w:r w:rsidRPr="00F93FE3">
        <w:rPr>
          <w:spacing w:val="-1"/>
        </w:rPr>
        <w:t>ideas</w:t>
      </w:r>
      <w:r w:rsidRPr="00F93FE3">
        <w:t xml:space="preserve"> </w:t>
      </w:r>
      <w:r w:rsidRPr="00F93FE3">
        <w:rPr>
          <w:spacing w:val="-1"/>
        </w:rPr>
        <w:t>that</w:t>
      </w:r>
      <w:r w:rsidRPr="00F93FE3">
        <w:t xml:space="preserve"> </w:t>
      </w:r>
      <w:r w:rsidRPr="00F93FE3">
        <w:rPr>
          <w:spacing w:val="-1"/>
        </w:rPr>
        <w:t>shaped</w:t>
      </w:r>
      <w:r w:rsidRPr="00F93FE3">
        <w:rPr>
          <w:spacing w:val="-3"/>
        </w:rPr>
        <w:t xml:space="preserve"> </w:t>
      </w:r>
      <w:r w:rsidRPr="00F93FE3">
        <w:t>the development</w:t>
      </w:r>
      <w:r w:rsidRPr="00F93FE3">
        <w:rPr>
          <w:spacing w:val="1"/>
        </w:rPr>
        <w:t xml:space="preserve"> </w:t>
      </w:r>
      <w:r w:rsidRPr="00F93FE3">
        <w:t>of</w:t>
      </w:r>
      <w:r w:rsidRPr="00F93FE3">
        <w:rPr>
          <w:spacing w:val="1"/>
        </w:rPr>
        <w:t xml:space="preserve"> </w:t>
      </w:r>
      <w:r w:rsidRPr="00F93FE3">
        <w:t>the</w:t>
      </w:r>
      <w:r w:rsidR="00F93FE3">
        <w:t xml:space="preserve"> </w:t>
      </w:r>
      <w:r w:rsidR="0047486B">
        <w:t>DHS Data Center Optimization Implementation Strategy</w:t>
      </w:r>
      <w:r w:rsidRPr="00F93FE3">
        <w:t xml:space="preserve"> </w:t>
      </w:r>
      <w:r w:rsidRPr="00F93FE3">
        <w:rPr>
          <w:spacing w:val="-1"/>
        </w:rPr>
        <w:t>and</w:t>
      </w:r>
      <w:r w:rsidRPr="00F93FE3">
        <w:t xml:space="preserve"> will</w:t>
      </w:r>
      <w:r w:rsidRPr="00F93FE3">
        <w:rPr>
          <w:spacing w:val="-1"/>
        </w:rPr>
        <w:t xml:space="preserve"> continue </w:t>
      </w:r>
      <w:r w:rsidRPr="00F93FE3">
        <w:t>to</w:t>
      </w:r>
      <w:r w:rsidRPr="00F93FE3">
        <w:rPr>
          <w:spacing w:val="-4"/>
        </w:rPr>
        <w:t xml:space="preserve"> </w:t>
      </w:r>
      <w:r w:rsidRPr="00F93FE3">
        <w:rPr>
          <w:spacing w:val="-1"/>
        </w:rPr>
        <w:t>guide decisions</w:t>
      </w:r>
      <w:r w:rsidRPr="00F93FE3">
        <w:rPr>
          <w:spacing w:val="1"/>
        </w:rPr>
        <w:t xml:space="preserve"> </w:t>
      </w:r>
      <w:r w:rsidRPr="00F93FE3">
        <w:rPr>
          <w:spacing w:val="-1"/>
        </w:rPr>
        <w:t>during its</w:t>
      </w:r>
      <w:r w:rsidRPr="00F93FE3">
        <w:rPr>
          <w:spacing w:val="1"/>
        </w:rPr>
        <w:t xml:space="preserve"> </w:t>
      </w:r>
      <w:r w:rsidRPr="00F93FE3">
        <w:t>implementation.</w:t>
      </w:r>
    </w:p>
    <w:p w:rsidR="007D1CA9" w:rsidRPr="007D1CA9" w:rsidRDefault="007D1CA9" w:rsidP="00742544">
      <w:pPr>
        <w:pStyle w:val="ListParagraph"/>
        <w:numPr>
          <w:ilvl w:val="0"/>
          <w:numId w:val="23"/>
        </w:numPr>
      </w:pPr>
      <w:r w:rsidRPr="007D1CA9">
        <w:rPr>
          <w:rFonts w:eastAsia="Arial"/>
          <w:b/>
          <w:bCs/>
        </w:rPr>
        <w:t>Mission</w:t>
      </w:r>
      <w:r w:rsidRPr="007D1CA9">
        <w:rPr>
          <w:rFonts w:eastAsia="Arial"/>
          <w:b/>
          <w:bCs/>
          <w:spacing w:val="1"/>
        </w:rPr>
        <w:t xml:space="preserve"> </w:t>
      </w:r>
      <w:r w:rsidRPr="007D1CA9">
        <w:rPr>
          <w:rFonts w:eastAsia="Arial"/>
          <w:b/>
          <w:bCs/>
        </w:rPr>
        <w:t xml:space="preserve">effectiveness </w:t>
      </w:r>
      <w:r w:rsidRPr="007D1CA9">
        <w:rPr>
          <w:rFonts w:eastAsia="Arial"/>
        </w:rPr>
        <w:t>–</w:t>
      </w:r>
      <w:r w:rsidRPr="007D1CA9">
        <w:rPr>
          <w:rFonts w:eastAsia="Arial"/>
          <w:spacing w:val="-2"/>
        </w:rPr>
        <w:t xml:space="preserve"> DHS</w:t>
      </w:r>
      <w:r w:rsidRPr="007D1CA9">
        <w:rPr>
          <w:spacing w:val="-2"/>
        </w:rPr>
        <w:t xml:space="preserve"> </w:t>
      </w:r>
      <w:r w:rsidRPr="00F93FE3">
        <w:t>must ensure</w:t>
      </w:r>
      <w:r w:rsidRPr="007D1CA9">
        <w:rPr>
          <w:spacing w:val="-2"/>
        </w:rPr>
        <w:t xml:space="preserve"> </w:t>
      </w:r>
      <w:r w:rsidRPr="00F93FE3">
        <w:t>that</w:t>
      </w:r>
      <w:r w:rsidRPr="007D1CA9">
        <w:rPr>
          <w:spacing w:val="1"/>
        </w:rPr>
        <w:t xml:space="preserve"> </w:t>
      </w:r>
      <w:r w:rsidRPr="00F93FE3">
        <w:t>it</w:t>
      </w:r>
      <w:r w:rsidRPr="007D1CA9">
        <w:rPr>
          <w:spacing w:val="1"/>
        </w:rPr>
        <w:t xml:space="preserve"> </w:t>
      </w:r>
      <w:r w:rsidRPr="00F93FE3">
        <w:t>does</w:t>
      </w:r>
      <w:r w:rsidRPr="007D1CA9">
        <w:rPr>
          <w:spacing w:val="-3"/>
        </w:rPr>
        <w:t xml:space="preserve"> </w:t>
      </w:r>
      <w:r w:rsidRPr="00F93FE3">
        <w:t>not</w:t>
      </w:r>
      <w:r w:rsidRPr="007D1CA9">
        <w:rPr>
          <w:spacing w:val="-2"/>
        </w:rPr>
        <w:t xml:space="preserve"> compromise</w:t>
      </w:r>
      <w:r w:rsidRPr="00F93FE3">
        <w:t xml:space="preserve"> its mission</w:t>
      </w:r>
      <w:r w:rsidRPr="007D1CA9">
        <w:rPr>
          <w:spacing w:val="-2"/>
        </w:rPr>
        <w:t xml:space="preserve"> </w:t>
      </w:r>
      <w:r w:rsidRPr="00F93FE3">
        <w:t>by</w:t>
      </w:r>
      <w:r w:rsidRPr="007D1CA9">
        <w:rPr>
          <w:spacing w:val="59"/>
        </w:rPr>
        <w:t xml:space="preserve"> </w:t>
      </w:r>
      <w:r w:rsidRPr="00F93FE3">
        <w:t>unrealistically trading the</w:t>
      </w:r>
      <w:r w:rsidRPr="007D1CA9">
        <w:rPr>
          <w:spacing w:val="-2"/>
        </w:rPr>
        <w:t xml:space="preserve"> </w:t>
      </w:r>
      <w:r w:rsidRPr="00F93FE3">
        <w:t>confidentiality, integrity</w:t>
      </w:r>
      <w:r w:rsidRPr="007D1CA9">
        <w:rPr>
          <w:spacing w:val="-4"/>
        </w:rPr>
        <w:t xml:space="preserve"> </w:t>
      </w:r>
      <w:r w:rsidRPr="00F93FE3">
        <w:t xml:space="preserve">and </w:t>
      </w:r>
      <w:r w:rsidRPr="007D1CA9">
        <w:rPr>
          <w:spacing w:val="-2"/>
        </w:rPr>
        <w:t xml:space="preserve">availability </w:t>
      </w:r>
      <w:r w:rsidRPr="00F93FE3">
        <w:t>of</w:t>
      </w:r>
      <w:r w:rsidRPr="007D1CA9">
        <w:rPr>
          <w:spacing w:val="6"/>
        </w:rPr>
        <w:t xml:space="preserve"> </w:t>
      </w:r>
      <w:r w:rsidRPr="007D1CA9">
        <w:rPr>
          <w:spacing w:val="-2"/>
        </w:rPr>
        <w:t>critical</w:t>
      </w:r>
      <w:r w:rsidRPr="007D1CA9">
        <w:rPr>
          <w:spacing w:val="-3"/>
        </w:rPr>
        <w:t xml:space="preserve"> </w:t>
      </w:r>
      <w:r w:rsidRPr="00F93FE3">
        <w:t>data and</w:t>
      </w:r>
      <w:r w:rsidRPr="007D1CA9">
        <w:rPr>
          <w:spacing w:val="70"/>
        </w:rPr>
        <w:t xml:space="preserve"> </w:t>
      </w:r>
      <w:r w:rsidRPr="00F93FE3">
        <w:t>information</w:t>
      </w:r>
      <w:r w:rsidRPr="007D1CA9">
        <w:rPr>
          <w:spacing w:val="2"/>
        </w:rPr>
        <w:t xml:space="preserve"> </w:t>
      </w:r>
      <w:r w:rsidRPr="00F93FE3">
        <w:t xml:space="preserve">in </w:t>
      </w:r>
      <w:r w:rsidRPr="007D1CA9">
        <w:rPr>
          <w:spacing w:val="-2"/>
        </w:rPr>
        <w:t>pursuit</w:t>
      </w:r>
      <w:r w:rsidRPr="00F93FE3">
        <w:t xml:space="preserve"> </w:t>
      </w:r>
      <w:r w:rsidRPr="007D1CA9">
        <w:rPr>
          <w:spacing w:val="-2"/>
        </w:rPr>
        <w:t>of</w:t>
      </w:r>
      <w:r w:rsidRPr="007D1CA9">
        <w:rPr>
          <w:spacing w:val="3"/>
        </w:rPr>
        <w:t xml:space="preserve"> </w:t>
      </w:r>
      <w:r w:rsidRPr="00F93FE3">
        <w:t>the benefits</w:t>
      </w:r>
      <w:r w:rsidRPr="007D1CA9">
        <w:rPr>
          <w:spacing w:val="-4"/>
        </w:rPr>
        <w:t xml:space="preserve"> </w:t>
      </w:r>
      <w:r w:rsidRPr="00F93FE3">
        <w:t>the</w:t>
      </w:r>
      <w:r w:rsidRPr="007D1CA9">
        <w:rPr>
          <w:spacing w:val="1"/>
        </w:rPr>
        <w:t xml:space="preserve"> </w:t>
      </w:r>
      <w:r w:rsidR="00C616DA">
        <w:t>enterprise</w:t>
      </w:r>
      <w:r>
        <w:t xml:space="preserve"> services</w:t>
      </w:r>
      <w:r w:rsidRPr="007D1CA9">
        <w:rPr>
          <w:spacing w:val="-2"/>
        </w:rPr>
        <w:t xml:space="preserve"> may </w:t>
      </w:r>
      <w:r w:rsidRPr="00F93FE3">
        <w:t>offer.</w:t>
      </w:r>
      <w:r w:rsidRPr="007D1CA9">
        <w:rPr>
          <w:spacing w:val="60"/>
        </w:rPr>
        <w:t xml:space="preserve"> </w:t>
      </w:r>
      <w:r w:rsidRPr="00F93FE3">
        <w:t xml:space="preserve">The </w:t>
      </w:r>
      <w:r w:rsidRPr="007D1CA9">
        <w:rPr>
          <w:spacing w:val="-2"/>
        </w:rPr>
        <w:t>potential</w:t>
      </w:r>
      <w:r w:rsidRPr="00F93FE3">
        <w:t xml:space="preserve"> </w:t>
      </w:r>
      <w:r>
        <w:lastRenderedPageBreak/>
        <w:t xml:space="preserve">technology </w:t>
      </w:r>
      <w:r w:rsidRPr="00F93FE3">
        <w:t xml:space="preserve">vulnerabilities and </w:t>
      </w:r>
      <w:r w:rsidRPr="007D1CA9">
        <w:rPr>
          <w:spacing w:val="-2"/>
        </w:rPr>
        <w:t xml:space="preserve">impacts </w:t>
      </w:r>
      <w:r w:rsidRPr="00F93FE3">
        <w:t xml:space="preserve">to </w:t>
      </w:r>
      <w:r>
        <w:t>o</w:t>
      </w:r>
      <w:r w:rsidRPr="00F93FE3">
        <w:t>perations</w:t>
      </w:r>
      <w:r w:rsidRPr="007D1CA9">
        <w:rPr>
          <w:spacing w:val="-2"/>
        </w:rPr>
        <w:t xml:space="preserve"> </w:t>
      </w:r>
      <w:r w:rsidRPr="00F93FE3">
        <w:t>must be</w:t>
      </w:r>
      <w:r w:rsidRPr="007D1CA9">
        <w:rPr>
          <w:spacing w:val="-2"/>
        </w:rPr>
        <w:t xml:space="preserve"> </w:t>
      </w:r>
      <w:r w:rsidRPr="00F93FE3">
        <w:t>continuously</w:t>
      </w:r>
      <w:r w:rsidRPr="007D1CA9">
        <w:rPr>
          <w:spacing w:val="-3"/>
        </w:rPr>
        <w:t xml:space="preserve"> </w:t>
      </w:r>
      <w:r w:rsidRPr="00F93FE3">
        <w:t>assessed</w:t>
      </w:r>
      <w:r>
        <w:t xml:space="preserve"> and</w:t>
      </w:r>
      <w:r w:rsidRPr="007D1CA9">
        <w:rPr>
          <w:spacing w:val="-2"/>
        </w:rPr>
        <w:t xml:space="preserve"> </w:t>
      </w:r>
      <w:r w:rsidRPr="00F93FE3">
        <w:t>then weighed</w:t>
      </w:r>
      <w:r w:rsidRPr="007D1CA9">
        <w:rPr>
          <w:spacing w:val="57"/>
        </w:rPr>
        <w:t xml:space="preserve"> </w:t>
      </w:r>
      <w:r w:rsidRPr="00F93FE3">
        <w:t>against</w:t>
      </w:r>
      <w:r w:rsidRPr="007D1CA9">
        <w:rPr>
          <w:spacing w:val="-2"/>
        </w:rPr>
        <w:t xml:space="preserve"> </w:t>
      </w:r>
      <w:r w:rsidRPr="00F93FE3">
        <w:t>the</w:t>
      </w:r>
      <w:r w:rsidRPr="007D1CA9">
        <w:rPr>
          <w:spacing w:val="-2"/>
        </w:rPr>
        <w:t xml:space="preserve"> </w:t>
      </w:r>
      <w:r w:rsidRPr="00F93FE3">
        <w:t>advantages</w:t>
      </w:r>
      <w:r w:rsidRPr="007D1CA9">
        <w:rPr>
          <w:spacing w:val="-4"/>
        </w:rPr>
        <w:t xml:space="preserve"> </w:t>
      </w:r>
      <w:r w:rsidRPr="007D1CA9">
        <w:rPr>
          <w:spacing w:val="-2"/>
        </w:rPr>
        <w:t>of</w:t>
      </w:r>
      <w:r w:rsidRPr="007D1CA9">
        <w:rPr>
          <w:spacing w:val="4"/>
        </w:rPr>
        <w:t xml:space="preserve"> </w:t>
      </w:r>
      <w:r w:rsidR="00C616DA">
        <w:t>adopting DHS ECS enablin</w:t>
      </w:r>
      <w:r w:rsidRPr="007D1CA9">
        <w:rPr>
          <w:spacing w:val="-2"/>
        </w:rPr>
        <w:t>g</w:t>
      </w:r>
      <w:r w:rsidRPr="00F93FE3">
        <w:t xml:space="preserve"> capabilities.</w:t>
      </w:r>
    </w:p>
    <w:p w:rsidR="00C008FA" w:rsidRPr="00F93FE3" w:rsidRDefault="00C008FA" w:rsidP="00742544">
      <w:pPr>
        <w:pStyle w:val="ListParagraph"/>
        <w:numPr>
          <w:ilvl w:val="0"/>
          <w:numId w:val="23"/>
        </w:numPr>
      </w:pPr>
      <w:r w:rsidRPr="007D1CA9">
        <w:rPr>
          <w:rFonts w:eastAsia="Arial"/>
          <w:b/>
          <w:bCs/>
        </w:rPr>
        <w:t>Common standards</w:t>
      </w:r>
      <w:r w:rsidRPr="007D1CA9">
        <w:rPr>
          <w:rFonts w:eastAsia="Arial"/>
          <w:b/>
          <w:bCs/>
          <w:spacing w:val="-2"/>
        </w:rPr>
        <w:t xml:space="preserve"> </w:t>
      </w:r>
      <w:r w:rsidRPr="007D1CA9">
        <w:rPr>
          <w:rFonts w:eastAsia="Arial"/>
        </w:rPr>
        <w:t xml:space="preserve">– </w:t>
      </w:r>
      <w:r w:rsidRPr="00F93FE3">
        <w:t>The design</w:t>
      </w:r>
      <w:r w:rsidRPr="007D1CA9">
        <w:rPr>
          <w:spacing w:val="-2"/>
        </w:rPr>
        <w:t xml:space="preserve"> </w:t>
      </w:r>
      <w:r w:rsidRPr="00F93FE3">
        <w:t>and</w:t>
      </w:r>
      <w:r w:rsidRPr="007D1CA9">
        <w:rPr>
          <w:spacing w:val="-2"/>
        </w:rPr>
        <w:t xml:space="preserve"> </w:t>
      </w:r>
      <w:r w:rsidRPr="00F93FE3">
        <w:t xml:space="preserve">use </w:t>
      </w:r>
      <w:r w:rsidRPr="007D1CA9">
        <w:rPr>
          <w:spacing w:val="-2"/>
        </w:rPr>
        <w:t>of</w:t>
      </w:r>
      <w:r w:rsidRPr="00F93FE3">
        <w:t xml:space="preserve"> the</w:t>
      </w:r>
      <w:r w:rsidRPr="007D1CA9">
        <w:rPr>
          <w:spacing w:val="-3"/>
        </w:rPr>
        <w:t xml:space="preserve"> </w:t>
      </w:r>
      <w:r w:rsidR="00176077">
        <w:t>enterprise computing model</w:t>
      </w:r>
      <w:r w:rsidR="00D014DB">
        <w:t xml:space="preserve"> </w:t>
      </w:r>
      <w:r w:rsidRPr="00F93FE3">
        <w:t>will follow</w:t>
      </w:r>
      <w:r w:rsidRPr="007D1CA9">
        <w:rPr>
          <w:spacing w:val="-2"/>
        </w:rPr>
        <w:t xml:space="preserve"> </w:t>
      </w:r>
      <w:r w:rsidRPr="00F93FE3">
        <w:t xml:space="preserve">approved </w:t>
      </w:r>
      <w:r w:rsidR="00F93FE3">
        <w:t xml:space="preserve">Homeland Security (HLS) </w:t>
      </w:r>
      <w:r w:rsidRPr="00F93FE3">
        <w:t>architecture</w:t>
      </w:r>
      <w:r w:rsidR="00D014DB">
        <w:t xml:space="preserve"> standards</w:t>
      </w:r>
      <w:r w:rsidRPr="007D1CA9">
        <w:rPr>
          <w:spacing w:val="1"/>
        </w:rPr>
        <w:t xml:space="preserve"> </w:t>
      </w:r>
      <w:r w:rsidRPr="00F93FE3">
        <w:t>and</w:t>
      </w:r>
      <w:r w:rsidRPr="007D1CA9">
        <w:rPr>
          <w:spacing w:val="57"/>
        </w:rPr>
        <w:t xml:space="preserve"> </w:t>
      </w:r>
      <w:r w:rsidRPr="00F93FE3">
        <w:t xml:space="preserve">operational </w:t>
      </w:r>
      <w:r w:rsidRPr="007D1CA9">
        <w:rPr>
          <w:spacing w:val="-2"/>
        </w:rPr>
        <w:t>directives</w:t>
      </w:r>
      <w:r w:rsidRPr="00F93FE3">
        <w:t xml:space="preserve"> to</w:t>
      </w:r>
      <w:r w:rsidRPr="007D1CA9">
        <w:rPr>
          <w:spacing w:val="-2"/>
        </w:rPr>
        <w:t xml:space="preserve"> </w:t>
      </w:r>
      <w:r w:rsidRPr="00F93FE3">
        <w:t>ensure</w:t>
      </w:r>
      <w:r w:rsidRPr="007D1CA9">
        <w:rPr>
          <w:spacing w:val="-2"/>
        </w:rPr>
        <w:t xml:space="preserve"> </w:t>
      </w:r>
      <w:r w:rsidRPr="00F93FE3">
        <w:t>the</w:t>
      </w:r>
      <w:r w:rsidRPr="007D1CA9">
        <w:rPr>
          <w:spacing w:val="-2"/>
        </w:rPr>
        <w:t xml:space="preserve"> </w:t>
      </w:r>
      <w:r w:rsidRPr="00F93FE3">
        <w:t>maximum</w:t>
      </w:r>
      <w:r w:rsidRPr="007D1CA9">
        <w:rPr>
          <w:spacing w:val="-2"/>
        </w:rPr>
        <w:t xml:space="preserve"> </w:t>
      </w:r>
      <w:r w:rsidRPr="00F93FE3">
        <w:t xml:space="preserve">level </w:t>
      </w:r>
      <w:r w:rsidRPr="007D1CA9">
        <w:rPr>
          <w:spacing w:val="-2"/>
        </w:rPr>
        <w:t>of</w:t>
      </w:r>
      <w:r w:rsidRPr="007D1CA9">
        <w:rPr>
          <w:spacing w:val="4"/>
        </w:rPr>
        <w:t xml:space="preserve"> </w:t>
      </w:r>
      <w:r w:rsidRPr="007D1CA9">
        <w:rPr>
          <w:spacing w:val="-2"/>
        </w:rPr>
        <w:t>interoperability</w:t>
      </w:r>
      <w:r w:rsidRPr="007D1CA9">
        <w:rPr>
          <w:spacing w:val="2"/>
        </w:rPr>
        <w:t xml:space="preserve"> </w:t>
      </w:r>
      <w:r w:rsidRPr="00F93FE3">
        <w:t xml:space="preserve">across </w:t>
      </w:r>
      <w:r w:rsidRPr="007D1CA9">
        <w:rPr>
          <w:spacing w:val="-2"/>
        </w:rPr>
        <w:t>multiple</w:t>
      </w:r>
      <w:r w:rsidRPr="00F93FE3">
        <w:t xml:space="preserve"> hosting </w:t>
      </w:r>
      <w:r w:rsidRPr="007D1CA9">
        <w:rPr>
          <w:spacing w:val="-2"/>
        </w:rPr>
        <w:t>environments</w:t>
      </w:r>
      <w:r w:rsidRPr="00F93FE3">
        <w:t>.</w:t>
      </w:r>
      <w:r w:rsidRPr="007D1CA9">
        <w:rPr>
          <w:spacing w:val="60"/>
        </w:rPr>
        <w:t xml:space="preserve"> </w:t>
      </w:r>
      <w:r w:rsidRPr="00F93FE3">
        <w:t>This ensures</w:t>
      </w:r>
      <w:r w:rsidRPr="007D1CA9">
        <w:rPr>
          <w:spacing w:val="-2"/>
        </w:rPr>
        <w:t xml:space="preserve"> </w:t>
      </w:r>
      <w:r w:rsidRPr="00F93FE3">
        <w:t>that</w:t>
      </w:r>
      <w:r w:rsidRPr="007D1CA9">
        <w:rPr>
          <w:spacing w:val="3"/>
        </w:rPr>
        <w:t xml:space="preserve"> </w:t>
      </w:r>
      <w:r w:rsidR="00F93FE3" w:rsidRPr="007D1CA9">
        <w:rPr>
          <w:spacing w:val="3"/>
        </w:rPr>
        <w:t>DHS</w:t>
      </w:r>
      <w:r w:rsidRPr="007D1CA9">
        <w:rPr>
          <w:spacing w:val="-2"/>
        </w:rPr>
        <w:t xml:space="preserve"> </w:t>
      </w:r>
      <w:r w:rsidRPr="00F93FE3">
        <w:t xml:space="preserve">applications and data </w:t>
      </w:r>
      <w:r w:rsidR="00D014DB" w:rsidRPr="007D1CA9">
        <w:rPr>
          <w:spacing w:val="-2"/>
        </w:rPr>
        <w:t>are</w:t>
      </w:r>
      <w:r w:rsidRPr="00F93FE3">
        <w:t xml:space="preserve"> modernized and</w:t>
      </w:r>
      <w:r w:rsidRPr="007D1CA9">
        <w:rPr>
          <w:spacing w:val="1"/>
        </w:rPr>
        <w:t xml:space="preserve"> </w:t>
      </w:r>
      <w:r w:rsidRPr="007D1CA9">
        <w:rPr>
          <w:spacing w:val="-2"/>
        </w:rPr>
        <w:t>optimized</w:t>
      </w:r>
      <w:r w:rsidRPr="007D1CA9">
        <w:rPr>
          <w:spacing w:val="70"/>
        </w:rPr>
        <w:t xml:space="preserve"> </w:t>
      </w:r>
      <w:r w:rsidR="00D014DB">
        <w:t>providing</w:t>
      </w:r>
      <w:r w:rsidRPr="00F93FE3">
        <w:t xml:space="preserve"> </w:t>
      </w:r>
      <w:r w:rsidRPr="007D1CA9">
        <w:rPr>
          <w:spacing w:val="-2"/>
        </w:rPr>
        <w:t>maximum</w:t>
      </w:r>
      <w:r w:rsidRPr="007D1CA9">
        <w:rPr>
          <w:spacing w:val="1"/>
        </w:rPr>
        <w:t xml:space="preserve"> </w:t>
      </w:r>
      <w:r w:rsidRPr="00F93FE3">
        <w:t xml:space="preserve">interoperability </w:t>
      </w:r>
      <w:r w:rsidRPr="007D1CA9">
        <w:rPr>
          <w:spacing w:val="-2"/>
        </w:rPr>
        <w:t>with</w:t>
      </w:r>
      <w:r w:rsidRPr="00F93FE3">
        <w:t xml:space="preserve"> other</w:t>
      </w:r>
      <w:r w:rsidRPr="007D1CA9">
        <w:rPr>
          <w:spacing w:val="1"/>
        </w:rPr>
        <w:t xml:space="preserve"> </w:t>
      </w:r>
      <w:r w:rsidRPr="007D1CA9">
        <w:rPr>
          <w:spacing w:val="-2"/>
        </w:rPr>
        <w:t>D</w:t>
      </w:r>
      <w:r w:rsidR="00F93FE3" w:rsidRPr="007D1CA9">
        <w:rPr>
          <w:spacing w:val="-2"/>
        </w:rPr>
        <w:t>HS</w:t>
      </w:r>
      <w:r w:rsidRPr="00F93FE3">
        <w:t xml:space="preserve"> components and</w:t>
      </w:r>
      <w:r w:rsidRPr="007D1CA9">
        <w:rPr>
          <w:spacing w:val="-4"/>
        </w:rPr>
        <w:t xml:space="preserve"> </w:t>
      </w:r>
      <w:r w:rsidR="00D014DB">
        <w:t>homeland security</w:t>
      </w:r>
      <w:r w:rsidRPr="00F93FE3">
        <w:t xml:space="preserve"> partners.</w:t>
      </w:r>
    </w:p>
    <w:p w:rsidR="00C008FA" w:rsidRPr="00F93FE3" w:rsidRDefault="007D1CA9" w:rsidP="00742544">
      <w:pPr>
        <w:pStyle w:val="ListParagraph"/>
        <w:numPr>
          <w:ilvl w:val="0"/>
          <w:numId w:val="23"/>
        </w:numPr>
      </w:pPr>
      <w:r>
        <w:rPr>
          <w:rFonts w:eastAsia="Arial"/>
          <w:b/>
          <w:bCs/>
        </w:rPr>
        <w:t>Resilient and secure</w:t>
      </w:r>
      <w:r w:rsidR="00C008FA" w:rsidRPr="007D1CA9">
        <w:rPr>
          <w:rFonts w:eastAsia="Arial"/>
          <w:b/>
          <w:bCs/>
          <w:spacing w:val="-4"/>
        </w:rPr>
        <w:t xml:space="preserve"> </w:t>
      </w:r>
      <w:r w:rsidR="00C008FA" w:rsidRPr="007D1CA9">
        <w:rPr>
          <w:rFonts w:eastAsia="Arial"/>
        </w:rPr>
        <w:t>–</w:t>
      </w:r>
      <w:r w:rsidR="00C008FA" w:rsidRPr="00F93FE3">
        <w:t xml:space="preserve"> </w:t>
      </w:r>
      <w:r w:rsidR="00C008FA" w:rsidRPr="007D1CA9">
        <w:rPr>
          <w:spacing w:val="-2"/>
        </w:rPr>
        <w:t>Dynamic</w:t>
      </w:r>
      <w:r w:rsidR="00C008FA" w:rsidRPr="00F93FE3">
        <w:t xml:space="preserve"> security</w:t>
      </w:r>
      <w:r w:rsidR="00C008FA" w:rsidRPr="007D1CA9">
        <w:rPr>
          <w:spacing w:val="-2"/>
        </w:rPr>
        <w:t xml:space="preserve"> </w:t>
      </w:r>
      <w:r w:rsidR="00C008FA" w:rsidRPr="00F93FE3">
        <w:t>requires</w:t>
      </w:r>
      <w:r w:rsidR="00C008FA" w:rsidRPr="007D1CA9">
        <w:rPr>
          <w:spacing w:val="3"/>
        </w:rPr>
        <w:t xml:space="preserve"> </w:t>
      </w:r>
      <w:r w:rsidR="00C008FA" w:rsidRPr="00F93FE3">
        <w:t>the</w:t>
      </w:r>
      <w:r w:rsidR="00C008FA" w:rsidRPr="007D1CA9">
        <w:rPr>
          <w:spacing w:val="59"/>
        </w:rPr>
        <w:t xml:space="preserve"> </w:t>
      </w:r>
      <w:r w:rsidR="00C008FA" w:rsidRPr="00F93FE3">
        <w:t xml:space="preserve">continuous monitoring and </w:t>
      </w:r>
      <w:r w:rsidR="00C008FA" w:rsidRPr="007D1CA9">
        <w:rPr>
          <w:spacing w:val="-2"/>
        </w:rPr>
        <w:t>evaluation</w:t>
      </w:r>
      <w:r w:rsidR="00C008FA" w:rsidRPr="00F93FE3">
        <w:t xml:space="preserve"> </w:t>
      </w:r>
      <w:r w:rsidR="00C008FA" w:rsidRPr="007D1CA9">
        <w:rPr>
          <w:spacing w:val="-2"/>
        </w:rPr>
        <w:t>of</w:t>
      </w:r>
      <w:r w:rsidR="00C008FA" w:rsidRPr="007D1CA9">
        <w:rPr>
          <w:spacing w:val="4"/>
        </w:rPr>
        <w:t xml:space="preserve"> </w:t>
      </w:r>
      <w:r w:rsidR="00C008FA" w:rsidRPr="007D1CA9">
        <w:rPr>
          <w:spacing w:val="-2"/>
        </w:rPr>
        <w:t>systems,</w:t>
      </w:r>
      <w:r w:rsidR="00C008FA" w:rsidRPr="007D1CA9">
        <w:rPr>
          <w:spacing w:val="2"/>
        </w:rPr>
        <w:t xml:space="preserve"> </w:t>
      </w:r>
      <w:r w:rsidR="00C008FA" w:rsidRPr="00F93FE3">
        <w:t xml:space="preserve">capabilities, </w:t>
      </w:r>
      <w:r w:rsidR="00C008FA" w:rsidRPr="007D1CA9">
        <w:rPr>
          <w:spacing w:val="-2"/>
        </w:rPr>
        <w:t xml:space="preserve">interfaces, </w:t>
      </w:r>
      <w:r w:rsidR="00C008FA" w:rsidRPr="00F93FE3">
        <w:t>applications and</w:t>
      </w:r>
      <w:r w:rsidR="00C008FA" w:rsidRPr="007D1CA9">
        <w:rPr>
          <w:spacing w:val="72"/>
        </w:rPr>
        <w:t xml:space="preserve"> </w:t>
      </w:r>
      <w:r w:rsidR="00C008FA" w:rsidRPr="00F93FE3">
        <w:t>data</w:t>
      </w:r>
      <w:r w:rsidR="00C008FA" w:rsidRPr="007D1CA9">
        <w:rPr>
          <w:spacing w:val="-2"/>
        </w:rPr>
        <w:t xml:space="preserve"> </w:t>
      </w:r>
      <w:r w:rsidR="00C008FA" w:rsidRPr="00F93FE3">
        <w:t>transactions to assess threats to cybersecurity</w:t>
      </w:r>
      <w:r w:rsidR="00C008FA" w:rsidRPr="007D1CA9">
        <w:rPr>
          <w:spacing w:val="-3"/>
        </w:rPr>
        <w:t xml:space="preserve"> </w:t>
      </w:r>
      <w:r w:rsidR="00C008FA" w:rsidRPr="00F93FE3">
        <w:t>and risks</w:t>
      </w:r>
      <w:r w:rsidR="00C008FA" w:rsidRPr="007D1CA9">
        <w:rPr>
          <w:spacing w:val="-2"/>
        </w:rPr>
        <w:t xml:space="preserve"> </w:t>
      </w:r>
      <w:r w:rsidR="00C008FA" w:rsidRPr="00F93FE3">
        <w:t>that</w:t>
      </w:r>
      <w:r w:rsidR="00C008FA" w:rsidRPr="007D1CA9">
        <w:rPr>
          <w:spacing w:val="-3"/>
        </w:rPr>
        <w:t xml:space="preserve"> </w:t>
      </w:r>
      <w:r w:rsidR="00C008FA" w:rsidRPr="00F93FE3">
        <w:t>may</w:t>
      </w:r>
      <w:r w:rsidR="00C008FA" w:rsidRPr="007D1CA9">
        <w:rPr>
          <w:spacing w:val="-3"/>
        </w:rPr>
        <w:t xml:space="preserve"> </w:t>
      </w:r>
      <w:r w:rsidR="00C008FA" w:rsidRPr="00F93FE3">
        <w:t>affect confidentiality,</w:t>
      </w:r>
      <w:r w:rsidR="00C008FA" w:rsidRPr="007D1CA9">
        <w:rPr>
          <w:spacing w:val="43"/>
        </w:rPr>
        <w:t xml:space="preserve"> </w:t>
      </w:r>
      <w:r w:rsidR="00C008FA" w:rsidRPr="00F93FE3">
        <w:t>integrity</w:t>
      </w:r>
      <w:r w:rsidR="00C008FA" w:rsidRPr="007D1CA9">
        <w:rPr>
          <w:spacing w:val="-2"/>
        </w:rPr>
        <w:t xml:space="preserve"> </w:t>
      </w:r>
      <w:r w:rsidR="00C008FA" w:rsidRPr="00F93FE3">
        <w:t>and availability.</w:t>
      </w:r>
      <w:r>
        <w:t xml:space="preserve">  </w:t>
      </w:r>
      <w:r w:rsidRPr="007D1CA9">
        <w:rPr>
          <w:spacing w:val="-2"/>
        </w:rPr>
        <w:t xml:space="preserve">Security countermeasures </w:t>
      </w:r>
      <w:r w:rsidRPr="007D1CA9">
        <w:t>are</w:t>
      </w:r>
      <w:r w:rsidRPr="007D1CA9">
        <w:rPr>
          <w:spacing w:val="-3"/>
        </w:rPr>
        <w:t xml:space="preserve"> </w:t>
      </w:r>
      <w:r w:rsidRPr="007D1CA9">
        <w:t>integrated</w:t>
      </w:r>
      <w:r w:rsidRPr="007D1CA9">
        <w:rPr>
          <w:spacing w:val="-2"/>
        </w:rPr>
        <w:t xml:space="preserve"> </w:t>
      </w:r>
      <w:r w:rsidRPr="007D1CA9">
        <w:t>from</w:t>
      </w:r>
      <w:r w:rsidRPr="007D1CA9">
        <w:rPr>
          <w:spacing w:val="75"/>
        </w:rPr>
        <w:t xml:space="preserve"> </w:t>
      </w:r>
      <w:r w:rsidRPr="007D1CA9">
        <w:t xml:space="preserve">the </w:t>
      </w:r>
      <w:r w:rsidRPr="007D1CA9">
        <w:rPr>
          <w:spacing w:val="-2"/>
        </w:rPr>
        <w:t>beginning,</w:t>
      </w:r>
      <w:r w:rsidRPr="007D1CA9">
        <w:t xml:space="preserve"> protecting </w:t>
      </w:r>
      <w:r>
        <w:t>critical</w:t>
      </w:r>
      <w:r w:rsidRPr="007D1CA9">
        <w:rPr>
          <w:spacing w:val="-2"/>
        </w:rPr>
        <w:t xml:space="preserve"> </w:t>
      </w:r>
      <w:r w:rsidRPr="007D1CA9">
        <w:t>data</w:t>
      </w:r>
      <w:r w:rsidRPr="007D1CA9">
        <w:rPr>
          <w:rFonts w:eastAsia="Arial"/>
          <w:spacing w:val="3"/>
        </w:rPr>
        <w:t xml:space="preserve"> </w:t>
      </w:r>
      <w:r w:rsidRPr="007D1CA9">
        <w:t>to ensure that users</w:t>
      </w:r>
      <w:r w:rsidRPr="007D1CA9">
        <w:rPr>
          <w:spacing w:val="57"/>
        </w:rPr>
        <w:t xml:space="preserve"> </w:t>
      </w:r>
      <w:r w:rsidRPr="007D1CA9">
        <w:t xml:space="preserve">and applications </w:t>
      </w:r>
      <w:r w:rsidRPr="007D1CA9">
        <w:rPr>
          <w:spacing w:val="-2"/>
        </w:rPr>
        <w:t>access</w:t>
      </w:r>
      <w:r w:rsidRPr="007D1CA9">
        <w:t xml:space="preserve"> only</w:t>
      </w:r>
      <w:r w:rsidRPr="007D1CA9">
        <w:rPr>
          <w:spacing w:val="-2"/>
        </w:rPr>
        <w:t xml:space="preserve"> </w:t>
      </w:r>
      <w:r w:rsidRPr="007D1CA9">
        <w:t>the</w:t>
      </w:r>
      <w:r w:rsidRPr="007D1CA9">
        <w:rPr>
          <w:spacing w:val="1"/>
        </w:rPr>
        <w:t xml:space="preserve"> </w:t>
      </w:r>
      <w:r w:rsidRPr="007D1CA9">
        <w:t>data</w:t>
      </w:r>
      <w:r w:rsidRPr="007D1CA9">
        <w:rPr>
          <w:spacing w:val="-3"/>
        </w:rPr>
        <w:t xml:space="preserve"> </w:t>
      </w:r>
      <w:r w:rsidRPr="007D1CA9">
        <w:t>for</w:t>
      </w:r>
      <w:r w:rsidRPr="007D1CA9">
        <w:rPr>
          <w:spacing w:val="1"/>
        </w:rPr>
        <w:t xml:space="preserve"> </w:t>
      </w:r>
      <w:r w:rsidRPr="007D1CA9">
        <w:rPr>
          <w:spacing w:val="-2"/>
        </w:rPr>
        <w:t>which</w:t>
      </w:r>
      <w:r w:rsidRPr="007D1CA9">
        <w:t xml:space="preserve"> they</w:t>
      </w:r>
      <w:r w:rsidRPr="007D1CA9">
        <w:rPr>
          <w:spacing w:val="-2"/>
        </w:rPr>
        <w:t xml:space="preserve"> </w:t>
      </w:r>
      <w:r w:rsidRPr="007D1CA9">
        <w:t xml:space="preserve">are authorized. </w:t>
      </w:r>
      <w:r w:rsidRPr="007D1CA9">
        <w:rPr>
          <w:spacing w:val="3"/>
        </w:rPr>
        <w:t xml:space="preserve"> </w:t>
      </w:r>
    </w:p>
    <w:p w:rsidR="00C008FA" w:rsidRPr="004A3797" w:rsidRDefault="00BE605C" w:rsidP="00742544">
      <w:pPr>
        <w:pStyle w:val="ListParagraph"/>
        <w:numPr>
          <w:ilvl w:val="0"/>
          <w:numId w:val="23"/>
        </w:numPr>
      </w:pPr>
      <w:r>
        <w:rPr>
          <w:rFonts w:eastAsia="Arial"/>
          <w:b/>
          <w:bCs/>
        </w:rPr>
        <w:t>Service l</w:t>
      </w:r>
      <w:r w:rsidR="004A3797" w:rsidRPr="007D1CA9">
        <w:rPr>
          <w:rFonts w:eastAsia="Arial"/>
          <w:b/>
          <w:bCs/>
        </w:rPr>
        <w:t xml:space="preserve">evel </w:t>
      </w:r>
      <w:r>
        <w:rPr>
          <w:rFonts w:eastAsia="Arial"/>
          <w:b/>
          <w:bCs/>
        </w:rPr>
        <w:t>m</w:t>
      </w:r>
      <w:r w:rsidR="004A3797" w:rsidRPr="007D1CA9">
        <w:rPr>
          <w:rFonts w:eastAsia="Arial"/>
          <w:b/>
          <w:bCs/>
        </w:rPr>
        <w:t>anagement</w:t>
      </w:r>
      <w:r w:rsidR="00C008FA" w:rsidRPr="007D1CA9">
        <w:rPr>
          <w:rFonts w:eastAsia="Arial"/>
          <w:b/>
          <w:bCs/>
        </w:rPr>
        <w:t xml:space="preserve"> </w:t>
      </w:r>
      <w:r w:rsidR="00C008FA" w:rsidRPr="007D1CA9">
        <w:rPr>
          <w:rFonts w:eastAsia="Arial"/>
        </w:rPr>
        <w:t>–</w:t>
      </w:r>
      <w:r w:rsidR="004A3797">
        <w:t xml:space="preserve">Service level management and service level agreements are well defined in the planning </w:t>
      </w:r>
      <w:r w:rsidR="00194F07">
        <w:t xml:space="preserve">stages </w:t>
      </w:r>
      <w:r w:rsidR="00194F07" w:rsidRPr="004A3797">
        <w:t>that include</w:t>
      </w:r>
      <w:r w:rsidR="004A3797" w:rsidRPr="004A3797">
        <w:t xml:space="preserve"> explicit service level agreements (SLAs) for security, continuity of operations, and service quality</w:t>
      </w:r>
      <w:r w:rsidR="00194F07">
        <w:t xml:space="preserve"> and address mutual management processes, periodic reporting, and quality assessments.</w:t>
      </w:r>
      <w:r w:rsidR="004A3797" w:rsidRPr="007D1CA9">
        <w:rPr>
          <w:rFonts w:cs="Myriad Pro"/>
          <w:color w:val="211D1E"/>
          <w:sz w:val="22"/>
          <w:szCs w:val="22"/>
        </w:rPr>
        <w:t xml:space="preserve"> </w:t>
      </w:r>
      <w:r w:rsidR="004A3797">
        <w:t xml:space="preserve"> </w:t>
      </w:r>
    </w:p>
    <w:p w:rsidR="00C008FA" w:rsidRPr="00F93FE3" w:rsidRDefault="00C008FA" w:rsidP="00742544">
      <w:pPr>
        <w:pStyle w:val="ListParagraph"/>
        <w:numPr>
          <w:ilvl w:val="0"/>
          <w:numId w:val="23"/>
        </w:numPr>
      </w:pPr>
      <w:r w:rsidRPr="007D1CA9">
        <w:rPr>
          <w:rFonts w:eastAsia="Arial"/>
          <w:b/>
          <w:bCs/>
        </w:rPr>
        <w:t xml:space="preserve">Minimization </w:t>
      </w:r>
      <w:r w:rsidRPr="007D1CA9">
        <w:rPr>
          <w:rFonts w:eastAsia="Arial"/>
          <w:b/>
          <w:bCs/>
          <w:spacing w:val="-2"/>
        </w:rPr>
        <w:t>of</w:t>
      </w:r>
      <w:r w:rsidRPr="007D1CA9">
        <w:rPr>
          <w:rFonts w:eastAsia="Arial"/>
          <w:b/>
          <w:bCs/>
        </w:rPr>
        <w:t xml:space="preserve"> redundant</w:t>
      </w:r>
      <w:r w:rsidRPr="007D1CA9">
        <w:rPr>
          <w:rFonts w:eastAsia="Arial"/>
          <w:b/>
          <w:bCs/>
          <w:spacing w:val="2"/>
        </w:rPr>
        <w:t xml:space="preserve"> </w:t>
      </w:r>
      <w:r w:rsidRPr="007D1CA9">
        <w:rPr>
          <w:rFonts w:eastAsia="Arial"/>
          <w:b/>
          <w:bCs/>
        </w:rPr>
        <w:t>data sources</w:t>
      </w:r>
      <w:r w:rsidRPr="007D1CA9">
        <w:rPr>
          <w:rFonts w:eastAsia="Arial"/>
          <w:b/>
          <w:bCs/>
          <w:spacing w:val="-3"/>
        </w:rPr>
        <w:t xml:space="preserve"> </w:t>
      </w:r>
      <w:r w:rsidRPr="007D1CA9">
        <w:rPr>
          <w:rFonts w:eastAsia="Arial"/>
        </w:rPr>
        <w:t>–</w:t>
      </w:r>
      <w:r w:rsidRPr="007D1CA9">
        <w:rPr>
          <w:rFonts w:eastAsia="Arial"/>
          <w:spacing w:val="-4"/>
        </w:rPr>
        <w:t xml:space="preserve"> </w:t>
      </w:r>
      <w:r w:rsidRPr="00F93FE3">
        <w:t>The</w:t>
      </w:r>
      <w:r w:rsidRPr="007D1CA9">
        <w:rPr>
          <w:spacing w:val="-2"/>
        </w:rPr>
        <w:t xml:space="preserve"> </w:t>
      </w:r>
      <w:r w:rsidRPr="00F93FE3">
        <w:t>use</w:t>
      </w:r>
      <w:r w:rsidRPr="007D1CA9">
        <w:rPr>
          <w:spacing w:val="1"/>
        </w:rPr>
        <w:t xml:space="preserve"> </w:t>
      </w:r>
      <w:r w:rsidRPr="00F93FE3">
        <w:t>and</w:t>
      </w:r>
      <w:r w:rsidRPr="007D1CA9">
        <w:rPr>
          <w:spacing w:val="-2"/>
        </w:rPr>
        <w:t xml:space="preserve"> </w:t>
      </w:r>
      <w:r w:rsidRPr="00F93FE3">
        <w:t>reuse</w:t>
      </w:r>
      <w:r w:rsidRPr="007D1CA9">
        <w:rPr>
          <w:spacing w:val="-2"/>
        </w:rPr>
        <w:t xml:space="preserve"> of</w:t>
      </w:r>
      <w:r w:rsidRPr="007D1CA9">
        <w:rPr>
          <w:spacing w:val="1"/>
        </w:rPr>
        <w:t xml:space="preserve"> </w:t>
      </w:r>
      <w:r w:rsidRPr="00F93FE3">
        <w:t>defined</w:t>
      </w:r>
      <w:r w:rsidRPr="007D1CA9">
        <w:rPr>
          <w:spacing w:val="-2"/>
        </w:rPr>
        <w:t xml:space="preserve"> authoritative</w:t>
      </w:r>
      <w:r w:rsidRPr="007D1CA9">
        <w:rPr>
          <w:spacing w:val="57"/>
        </w:rPr>
        <w:t xml:space="preserve"> </w:t>
      </w:r>
      <w:r w:rsidRPr="00F93FE3">
        <w:t>data sources</w:t>
      </w:r>
      <w:r w:rsidRPr="007D1CA9">
        <w:rPr>
          <w:spacing w:val="-2"/>
        </w:rPr>
        <w:t xml:space="preserve"> </w:t>
      </w:r>
      <w:r w:rsidRPr="00F93FE3">
        <w:t>and standard data services provide access to cost-effective</w:t>
      </w:r>
      <w:r w:rsidRPr="007D1CA9">
        <w:rPr>
          <w:spacing w:val="-2"/>
        </w:rPr>
        <w:t xml:space="preserve"> </w:t>
      </w:r>
      <w:r w:rsidRPr="00F93FE3">
        <w:t>structured</w:t>
      </w:r>
      <w:r w:rsidRPr="007D1CA9">
        <w:rPr>
          <w:spacing w:val="-3"/>
        </w:rPr>
        <w:t xml:space="preserve"> </w:t>
      </w:r>
      <w:r w:rsidRPr="00F93FE3">
        <w:t>and</w:t>
      </w:r>
      <w:r w:rsidRPr="007D1CA9">
        <w:rPr>
          <w:spacing w:val="53"/>
        </w:rPr>
        <w:t xml:space="preserve"> </w:t>
      </w:r>
      <w:r w:rsidRPr="00F93FE3">
        <w:t>unstructured</w:t>
      </w:r>
      <w:r w:rsidRPr="007D1CA9">
        <w:rPr>
          <w:spacing w:val="-3"/>
        </w:rPr>
        <w:t xml:space="preserve"> </w:t>
      </w:r>
      <w:r w:rsidRPr="00F93FE3">
        <w:t>data</w:t>
      </w:r>
      <w:r w:rsidRPr="007D1CA9">
        <w:rPr>
          <w:spacing w:val="-2"/>
        </w:rPr>
        <w:t xml:space="preserve"> </w:t>
      </w:r>
      <w:r w:rsidRPr="00F93FE3">
        <w:t>through simplified interfaces.</w:t>
      </w:r>
      <w:r w:rsidRPr="007D1CA9">
        <w:rPr>
          <w:spacing w:val="58"/>
        </w:rPr>
        <w:t xml:space="preserve"> </w:t>
      </w:r>
      <w:r w:rsidRPr="00F93FE3">
        <w:t>Improved data</w:t>
      </w:r>
      <w:r w:rsidRPr="007D1CA9">
        <w:rPr>
          <w:spacing w:val="-5"/>
        </w:rPr>
        <w:t xml:space="preserve"> </w:t>
      </w:r>
      <w:r w:rsidRPr="00F93FE3">
        <w:t>quality</w:t>
      </w:r>
      <w:r w:rsidRPr="007D1CA9">
        <w:rPr>
          <w:spacing w:val="-2"/>
        </w:rPr>
        <w:t xml:space="preserve"> </w:t>
      </w:r>
      <w:r w:rsidRPr="00F93FE3">
        <w:t>is</w:t>
      </w:r>
      <w:r w:rsidRPr="007D1CA9">
        <w:rPr>
          <w:spacing w:val="1"/>
        </w:rPr>
        <w:t xml:space="preserve"> </w:t>
      </w:r>
      <w:r w:rsidRPr="007D1CA9">
        <w:rPr>
          <w:spacing w:val="-2"/>
        </w:rPr>
        <w:t>achieved</w:t>
      </w:r>
      <w:r w:rsidRPr="00F93FE3">
        <w:t xml:space="preserve"> by</w:t>
      </w:r>
      <w:r w:rsidRPr="007D1CA9">
        <w:rPr>
          <w:spacing w:val="80"/>
        </w:rPr>
        <w:t xml:space="preserve"> </w:t>
      </w:r>
      <w:r w:rsidRPr="00F93FE3">
        <w:t xml:space="preserve">performing functions </w:t>
      </w:r>
      <w:r w:rsidRPr="007D1CA9">
        <w:rPr>
          <w:spacing w:val="-2"/>
        </w:rPr>
        <w:t>such</w:t>
      </w:r>
      <w:r w:rsidRPr="00F93FE3">
        <w:t xml:space="preserve"> as</w:t>
      </w:r>
      <w:r w:rsidRPr="007D1CA9">
        <w:rPr>
          <w:spacing w:val="3"/>
        </w:rPr>
        <w:t xml:space="preserve"> </w:t>
      </w:r>
      <w:r w:rsidRPr="007D1CA9">
        <w:rPr>
          <w:spacing w:val="-2"/>
        </w:rPr>
        <w:t>eliminating</w:t>
      </w:r>
      <w:r w:rsidRPr="00F93FE3">
        <w:t xml:space="preserve"> duplication, consolidation and </w:t>
      </w:r>
      <w:r w:rsidRPr="007D1CA9">
        <w:rPr>
          <w:spacing w:val="-2"/>
        </w:rPr>
        <w:t>tagging</w:t>
      </w:r>
      <w:r w:rsidRPr="007D1CA9">
        <w:rPr>
          <w:spacing w:val="4"/>
        </w:rPr>
        <w:t xml:space="preserve"> </w:t>
      </w:r>
      <w:r w:rsidRPr="007D1CA9">
        <w:rPr>
          <w:spacing w:val="-2"/>
        </w:rPr>
        <w:t>of</w:t>
      </w:r>
      <w:r w:rsidRPr="007D1CA9">
        <w:rPr>
          <w:spacing w:val="2"/>
        </w:rPr>
        <w:t xml:space="preserve"> </w:t>
      </w:r>
      <w:r w:rsidR="00C616DA">
        <w:t xml:space="preserve">all data in DHS ECS </w:t>
      </w:r>
      <w:r w:rsidRPr="007D1CA9">
        <w:rPr>
          <w:spacing w:val="-2"/>
        </w:rPr>
        <w:t>environments.</w:t>
      </w:r>
      <w:r w:rsidRPr="00F93FE3">
        <w:t xml:space="preserve"> </w:t>
      </w:r>
      <w:r w:rsidRPr="007D1CA9">
        <w:rPr>
          <w:spacing w:val="1"/>
        </w:rPr>
        <w:t xml:space="preserve"> </w:t>
      </w:r>
    </w:p>
    <w:p w:rsidR="00C008FA" w:rsidRPr="00D42CBF" w:rsidRDefault="00C008FA" w:rsidP="00742544">
      <w:pPr>
        <w:pStyle w:val="ListParagraph"/>
        <w:numPr>
          <w:ilvl w:val="0"/>
          <w:numId w:val="23"/>
        </w:numPr>
      </w:pPr>
      <w:r w:rsidRPr="007D1CA9">
        <w:rPr>
          <w:rFonts w:eastAsia="Arial"/>
          <w:b/>
          <w:bCs/>
        </w:rPr>
        <w:t>Interoperability</w:t>
      </w:r>
      <w:r w:rsidRPr="007D1CA9">
        <w:rPr>
          <w:rFonts w:eastAsia="Arial"/>
          <w:b/>
          <w:bCs/>
          <w:spacing w:val="-4"/>
        </w:rPr>
        <w:t xml:space="preserve"> </w:t>
      </w:r>
      <w:r w:rsidRPr="007D1CA9">
        <w:rPr>
          <w:rFonts w:eastAsia="Arial"/>
          <w:b/>
          <w:bCs/>
        </w:rPr>
        <w:t>&amp;</w:t>
      </w:r>
      <w:r w:rsidRPr="007D1CA9">
        <w:rPr>
          <w:rFonts w:eastAsia="Arial"/>
          <w:b/>
          <w:bCs/>
          <w:spacing w:val="1"/>
        </w:rPr>
        <w:t xml:space="preserve"> </w:t>
      </w:r>
      <w:r w:rsidRPr="007D1CA9">
        <w:rPr>
          <w:rFonts w:eastAsia="Arial"/>
          <w:b/>
          <w:bCs/>
        </w:rPr>
        <w:t>portability</w:t>
      </w:r>
      <w:r w:rsidRPr="007D1CA9">
        <w:rPr>
          <w:rFonts w:eastAsia="Arial"/>
          <w:b/>
          <w:bCs/>
          <w:spacing w:val="-3"/>
        </w:rPr>
        <w:t xml:space="preserve"> </w:t>
      </w:r>
      <w:r w:rsidRPr="007D1CA9">
        <w:rPr>
          <w:rFonts w:eastAsia="Arial"/>
        </w:rPr>
        <w:t xml:space="preserve">– </w:t>
      </w:r>
      <w:r w:rsidRPr="00F93FE3">
        <w:t>Compliance</w:t>
      </w:r>
      <w:r w:rsidRPr="007D1CA9">
        <w:rPr>
          <w:spacing w:val="1"/>
        </w:rPr>
        <w:t xml:space="preserve"> </w:t>
      </w:r>
      <w:r w:rsidRPr="007D1CA9">
        <w:rPr>
          <w:spacing w:val="-2"/>
        </w:rPr>
        <w:t>with</w:t>
      </w:r>
      <w:r w:rsidRPr="007D1CA9">
        <w:rPr>
          <w:spacing w:val="1"/>
        </w:rPr>
        <w:t xml:space="preserve"> </w:t>
      </w:r>
      <w:r w:rsidR="00F93FE3">
        <w:t xml:space="preserve">DHS </w:t>
      </w:r>
      <w:r w:rsidRPr="00F93FE3">
        <w:t xml:space="preserve">data </w:t>
      </w:r>
      <w:r w:rsidR="00D42CBF">
        <w:t xml:space="preserve">and information sharing </w:t>
      </w:r>
      <w:r w:rsidRPr="00F93FE3">
        <w:t xml:space="preserve">standards </w:t>
      </w:r>
      <w:r w:rsidR="00F93FE3">
        <w:t xml:space="preserve">to </w:t>
      </w:r>
      <w:r w:rsidR="00F93FE3" w:rsidRPr="00F93FE3">
        <w:t>ensure</w:t>
      </w:r>
      <w:r w:rsidRPr="007D1CA9">
        <w:rPr>
          <w:spacing w:val="49"/>
        </w:rPr>
        <w:t xml:space="preserve"> </w:t>
      </w:r>
      <w:r w:rsidRPr="00F93FE3">
        <w:t>interoperability</w:t>
      </w:r>
      <w:r w:rsidRPr="007D1CA9">
        <w:rPr>
          <w:spacing w:val="-2"/>
        </w:rPr>
        <w:t xml:space="preserve"> of</w:t>
      </w:r>
      <w:r w:rsidRPr="007D1CA9">
        <w:rPr>
          <w:spacing w:val="4"/>
        </w:rPr>
        <w:t xml:space="preserve"> </w:t>
      </w:r>
      <w:r w:rsidRPr="00F93FE3">
        <w:t>applications</w:t>
      </w:r>
      <w:r w:rsidRPr="007D1CA9">
        <w:rPr>
          <w:spacing w:val="2"/>
        </w:rPr>
        <w:t xml:space="preserve"> </w:t>
      </w:r>
      <w:r w:rsidRPr="00F93FE3">
        <w:t>and data</w:t>
      </w:r>
      <w:r w:rsidRPr="007D1CA9">
        <w:rPr>
          <w:spacing w:val="-4"/>
        </w:rPr>
        <w:t xml:space="preserve"> </w:t>
      </w:r>
      <w:r w:rsidRPr="00F93FE3">
        <w:t>for</w:t>
      </w:r>
      <w:r w:rsidRPr="007D1CA9">
        <w:rPr>
          <w:spacing w:val="1"/>
        </w:rPr>
        <w:t xml:space="preserve"> </w:t>
      </w:r>
      <w:r w:rsidRPr="007D1CA9">
        <w:rPr>
          <w:spacing w:val="-2"/>
        </w:rPr>
        <w:t>effective</w:t>
      </w:r>
      <w:r w:rsidRPr="00F93FE3">
        <w:t xml:space="preserve"> information sharing </w:t>
      </w:r>
      <w:r w:rsidRPr="007D1CA9">
        <w:rPr>
          <w:spacing w:val="-2"/>
        </w:rPr>
        <w:t>among</w:t>
      </w:r>
      <w:r w:rsidRPr="007D1CA9">
        <w:rPr>
          <w:spacing w:val="2"/>
        </w:rPr>
        <w:t xml:space="preserve"> </w:t>
      </w:r>
      <w:r w:rsidR="00F93FE3" w:rsidRPr="007D1CA9">
        <w:rPr>
          <w:spacing w:val="2"/>
        </w:rPr>
        <w:t>component’s</w:t>
      </w:r>
      <w:r w:rsidRPr="00F93FE3">
        <w:t xml:space="preserve"> and</w:t>
      </w:r>
      <w:r w:rsidRPr="007D1CA9">
        <w:rPr>
          <w:spacing w:val="-2"/>
        </w:rPr>
        <w:t xml:space="preserve"> </w:t>
      </w:r>
      <w:r w:rsidR="00D42CBF">
        <w:t>homeland security</w:t>
      </w:r>
      <w:r w:rsidRPr="007D1CA9">
        <w:rPr>
          <w:spacing w:val="-2"/>
        </w:rPr>
        <w:t xml:space="preserve"> </w:t>
      </w:r>
      <w:r w:rsidRPr="00F93FE3">
        <w:t xml:space="preserve">partners. </w:t>
      </w:r>
      <w:r w:rsidRPr="007D1CA9">
        <w:rPr>
          <w:spacing w:val="1"/>
        </w:rPr>
        <w:t xml:space="preserve"> </w:t>
      </w:r>
      <w:r w:rsidRPr="00F93FE3">
        <w:t>This</w:t>
      </w:r>
      <w:r w:rsidRPr="007D1CA9">
        <w:rPr>
          <w:spacing w:val="-2"/>
        </w:rPr>
        <w:t xml:space="preserve"> </w:t>
      </w:r>
      <w:r w:rsidRPr="00F93FE3">
        <w:t>principle</w:t>
      </w:r>
      <w:r w:rsidRPr="007D1CA9">
        <w:rPr>
          <w:spacing w:val="-2"/>
        </w:rPr>
        <w:t xml:space="preserve"> </w:t>
      </w:r>
      <w:r w:rsidRPr="00F93FE3">
        <w:t>ensures</w:t>
      </w:r>
      <w:r w:rsidRPr="007D1CA9">
        <w:rPr>
          <w:spacing w:val="-3"/>
        </w:rPr>
        <w:t xml:space="preserve"> </w:t>
      </w:r>
      <w:r w:rsidRPr="00F93FE3">
        <w:t xml:space="preserve">that </w:t>
      </w:r>
      <w:r w:rsidR="00F93FE3">
        <w:t xml:space="preserve">DHS </w:t>
      </w:r>
      <w:r w:rsidRPr="00F93FE3">
        <w:t xml:space="preserve">information </w:t>
      </w:r>
      <w:r w:rsidR="00F93FE3">
        <w:t>is</w:t>
      </w:r>
      <w:r w:rsidRPr="00F93FE3">
        <w:t xml:space="preserve"> able</w:t>
      </w:r>
      <w:r w:rsidRPr="007D1CA9">
        <w:rPr>
          <w:spacing w:val="-2"/>
        </w:rPr>
        <w:t xml:space="preserve"> </w:t>
      </w:r>
      <w:r w:rsidRPr="00F93FE3">
        <w:t>to</w:t>
      </w:r>
      <w:r w:rsidRPr="007D1CA9">
        <w:rPr>
          <w:spacing w:val="-2"/>
        </w:rPr>
        <w:t xml:space="preserve"> </w:t>
      </w:r>
      <w:r w:rsidRPr="00F93FE3">
        <w:t>move seamlessly between infrastructure workloads and</w:t>
      </w:r>
      <w:r w:rsidRPr="007D1CA9">
        <w:rPr>
          <w:spacing w:val="-2"/>
        </w:rPr>
        <w:t xml:space="preserve"> </w:t>
      </w:r>
      <w:r w:rsidR="00D42CBF">
        <w:t>multi-vendor</w:t>
      </w:r>
      <w:r w:rsidR="00F93FE3">
        <w:t xml:space="preserve"> </w:t>
      </w:r>
      <w:r w:rsidR="00D42CBF">
        <w:t>p</w:t>
      </w:r>
      <w:r w:rsidR="00F93FE3">
        <w:t>rovider</w:t>
      </w:r>
      <w:r w:rsidR="00D42CBF">
        <w:t>s</w:t>
      </w:r>
      <w:r w:rsidR="00F93FE3">
        <w:t xml:space="preserve"> </w:t>
      </w:r>
      <w:r w:rsidRPr="00F93FE3">
        <w:t>to</w:t>
      </w:r>
      <w:r w:rsidRPr="007D1CA9">
        <w:rPr>
          <w:spacing w:val="49"/>
        </w:rPr>
        <w:t xml:space="preserve"> </w:t>
      </w:r>
      <w:r w:rsidRPr="00F93FE3">
        <w:t>provide a common user</w:t>
      </w:r>
      <w:r w:rsidRPr="007D1CA9">
        <w:rPr>
          <w:spacing w:val="1"/>
        </w:rPr>
        <w:t xml:space="preserve"> </w:t>
      </w:r>
      <w:r w:rsidRPr="00F93FE3">
        <w:t>experience.</w:t>
      </w:r>
      <w:r w:rsidRPr="007D1CA9">
        <w:rPr>
          <w:spacing w:val="59"/>
        </w:rPr>
        <w:t xml:space="preserve"> </w:t>
      </w:r>
    </w:p>
    <w:p w:rsidR="00DB1A39" w:rsidRDefault="00312F4B" w:rsidP="00DB1A39">
      <w:pPr>
        <w:pStyle w:val="Heading1"/>
      </w:pPr>
      <w:bookmarkStart w:id="11" w:name="_Toc475636833"/>
      <w:r>
        <w:t xml:space="preserve">Strategic </w:t>
      </w:r>
      <w:r w:rsidR="000D3C4F">
        <w:t>Approach</w:t>
      </w:r>
      <w:bookmarkEnd w:id="11"/>
    </w:p>
    <w:p w:rsidR="00B84467" w:rsidRPr="00B84467" w:rsidRDefault="00B84467" w:rsidP="00B84467">
      <w:pPr>
        <w:rPr>
          <w:rFonts w:cs="Franklin Gothic Book"/>
          <w:color w:val="57585A"/>
          <w:szCs w:val="24"/>
        </w:rPr>
      </w:pPr>
      <w:r w:rsidRPr="005719E0">
        <w:rPr>
          <w:szCs w:val="24"/>
        </w:rPr>
        <w:t>As stated in the DHS IT Strategic Plan 2015-2018, DHS IT enables secure resilient capabilities to achieve interoperability, information sharing, and unity of effort for DHS and its partners</w:t>
      </w:r>
      <w:r w:rsidRPr="00176077">
        <w:rPr>
          <w:szCs w:val="24"/>
        </w:rPr>
        <w:t>.</w:t>
      </w:r>
      <w:r w:rsidRPr="00176077">
        <w:rPr>
          <w:rFonts w:cs="Franklin Gothic Book"/>
          <w:szCs w:val="24"/>
        </w:rPr>
        <w:t xml:space="preserve">  </w:t>
      </w:r>
      <w:r w:rsidR="00F97B8F" w:rsidRPr="00176077">
        <w:rPr>
          <w:rFonts w:cs="Franklin Gothic Book"/>
          <w:szCs w:val="24"/>
        </w:rPr>
        <w:t>DHS ECS</w:t>
      </w:r>
      <w:r w:rsidRPr="00176077">
        <w:t xml:space="preserve"> computing, when coupled with the appropriate applications and infrastructure, will e</w:t>
      </w:r>
      <w:r w:rsidRPr="00BF561D">
        <w:t xml:space="preserve">nable authorized users to harness the power of </w:t>
      </w:r>
      <w:r w:rsidR="00F97B8F">
        <w:t xml:space="preserve">the multi-provider and commercial </w:t>
      </w:r>
      <w:r>
        <w:t xml:space="preserve">services to </w:t>
      </w:r>
      <w:r w:rsidRPr="00BF561D">
        <w:t>unify national effort</w:t>
      </w:r>
      <w:r>
        <w:t>s</w:t>
      </w:r>
      <w:r w:rsidRPr="00BF561D">
        <w:t xml:space="preserve"> to prevent and deter terrorist attacks; and protect against and respond to threa</w:t>
      </w:r>
      <w:r w:rsidR="00F97B8F">
        <w:t>ts and hazards to the Homeland.</w:t>
      </w:r>
    </w:p>
    <w:p w:rsidR="00CE5408" w:rsidRDefault="008E6F97" w:rsidP="00B84467">
      <w:r>
        <w:t>DHS ECS will</w:t>
      </w:r>
      <w:r w:rsidR="00211528">
        <w:t xml:space="preserve"> </w:t>
      </w:r>
      <w:r w:rsidR="00CE5408">
        <w:t>expedite the</w:t>
      </w:r>
      <w:r w:rsidR="00B84467" w:rsidRPr="00BF561D">
        <w:t xml:space="preserve"> transform</w:t>
      </w:r>
      <w:r w:rsidR="00CE5408">
        <w:t>ation of</w:t>
      </w:r>
      <w:r w:rsidR="00B84467" w:rsidRPr="00BF561D">
        <w:t xml:space="preserve"> </w:t>
      </w:r>
      <w:r w:rsidR="00211528">
        <w:t xml:space="preserve">many </w:t>
      </w:r>
      <w:r w:rsidR="006C5CE9">
        <w:t xml:space="preserve">remaining </w:t>
      </w:r>
      <w:r w:rsidR="00B84467" w:rsidRPr="00BF561D">
        <w:t>legacy IT business model</w:t>
      </w:r>
      <w:r w:rsidR="006C5CE9">
        <w:t>s</w:t>
      </w:r>
      <w:r w:rsidR="00B84467" w:rsidRPr="00BF561D">
        <w:t xml:space="preserve"> from an asset based culture into a services based, customer-centric IT business model; providing operational expenditure transparency, reduction in capital expenditures and reduced time to market for new capabilities. </w:t>
      </w:r>
      <w:r w:rsidR="00CE5408">
        <w:t>To accelerate this transformation, DHS will</w:t>
      </w:r>
      <w:r w:rsidR="006C5CE9">
        <w:t xml:space="preserve"> continue initiatives already associated with DHS optimization efforts as well as leverage new approaches.</w:t>
      </w:r>
    </w:p>
    <w:p w:rsidR="003C3517" w:rsidRDefault="003C3517" w:rsidP="00742544">
      <w:pPr>
        <w:pStyle w:val="ListParagraph"/>
        <w:numPr>
          <w:ilvl w:val="0"/>
          <w:numId w:val="32"/>
        </w:numPr>
      </w:pPr>
      <w:r>
        <w:t xml:space="preserve">DHS will continue </w:t>
      </w:r>
      <w:r w:rsidR="005017D6">
        <w:t>strengthening</w:t>
      </w:r>
      <w:r w:rsidR="00B84467" w:rsidRPr="001B1765">
        <w:t xml:space="preserve"> the foundation by focusing on improving network security and throughput </w:t>
      </w:r>
      <w:r w:rsidR="00B84467">
        <w:t xml:space="preserve">of DHS </w:t>
      </w:r>
      <w:proofErr w:type="spellStart"/>
      <w:r w:rsidR="00B84467">
        <w:t>OneNet</w:t>
      </w:r>
      <w:proofErr w:type="spellEnd"/>
      <w:r w:rsidR="00B84467">
        <w:t xml:space="preserve"> </w:t>
      </w:r>
      <w:r w:rsidR="00B84467" w:rsidRPr="001B1765">
        <w:t xml:space="preserve">to ensure that sufficient capacity exists for </w:t>
      </w:r>
      <w:r w:rsidR="00B84467">
        <w:t xml:space="preserve">the business community </w:t>
      </w:r>
      <w:r w:rsidR="00B84467" w:rsidRPr="001B1765">
        <w:t xml:space="preserve">to access and securely work </w:t>
      </w:r>
      <w:r w:rsidR="00B84467">
        <w:t xml:space="preserve">using commercial </w:t>
      </w:r>
      <w:r w:rsidR="00C616DA">
        <w:t>DHS ECS</w:t>
      </w:r>
      <w:r w:rsidR="00B84467">
        <w:t xml:space="preserve"> capabilities</w:t>
      </w:r>
      <w:r w:rsidR="00B84467" w:rsidRPr="001B1765">
        <w:t>.</w:t>
      </w:r>
    </w:p>
    <w:p w:rsidR="003C3517" w:rsidRPr="00331E6E" w:rsidRDefault="003C3517" w:rsidP="00742544">
      <w:pPr>
        <w:pStyle w:val="ListParagraph"/>
        <w:numPr>
          <w:ilvl w:val="0"/>
          <w:numId w:val="32"/>
        </w:numPr>
      </w:pPr>
      <w:r>
        <w:rPr>
          <w:color w:val="231F20"/>
        </w:rPr>
        <w:lastRenderedPageBreak/>
        <w:t xml:space="preserve">DHS </w:t>
      </w:r>
      <w:r w:rsidR="00B84467" w:rsidRPr="00355E77">
        <w:rPr>
          <w:color w:val="231F20"/>
          <w:spacing w:val="-1"/>
        </w:rPr>
        <w:t>will</w:t>
      </w:r>
      <w:r w:rsidR="00B84467" w:rsidRPr="00355E77">
        <w:rPr>
          <w:color w:val="231F20"/>
        </w:rPr>
        <w:t xml:space="preserve"> </w:t>
      </w:r>
      <w:r w:rsidR="00B84467" w:rsidRPr="00355E77">
        <w:rPr>
          <w:color w:val="231F20"/>
          <w:spacing w:val="-1"/>
        </w:rPr>
        <w:t xml:space="preserve">continue </w:t>
      </w:r>
      <w:r w:rsidR="00B84467" w:rsidRPr="006C5CE9">
        <w:rPr>
          <w:color w:val="231F20"/>
          <w:spacing w:val="-2"/>
        </w:rPr>
        <w:t>emphasis</w:t>
      </w:r>
      <w:r w:rsidR="00B84467" w:rsidRPr="006C5CE9">
        <w:rPr>
          <w:color w:val="231F20"/>
          <w:spacing w:val="1"/>
        </w:rPr>
        <w:t xml:space="preserve"> </w:t>
      </w:r>
      <w:r w:rsidR="00B84467" w:rsidRPr="006C5CE9">
        <w:rPr>
          <w:color w:val="231F20"/>
          <w:spacing w:val="-1"/>
        </w:rPr>
        <w:t>on</w:t>
      </w:r>
      <w:r w:rsidR="00B84467" w:rsidRPr="006C5CE9">
        <w:rPr>
          <w:color w:val="231F20"/>
          <w:spacing w:val="-2"/>
        </w:rPr>
        <w:t xml:space="preserve"> </w:t>
      </w:r>
      <w:r w:rsidR="00B84467" w:rsidRPr="006C5CE9">
        <w:rPr>
          <w:color w:val="231F20"/>
          <w:spacing w:val="-1"/>
        </w:rPr>
        <w:t>the</w:t>
      </w:r>
      <w:r w:rsidR="00B84467" w:rsidRPr="006C5CE9">
        <w:rPr>
          <w:color w:val="231F20"/>
          <w:spacing w:val="-2"/>
        </w:rPr>
        <w:t xml:space="preserve"> </w:t>
      </w:r>
      <w:r w:rsidR="00B84467" w:rsidRPr="006C5CE9">
        <w:rPr>
          <w:color w:val="231F20"/>
          <w:spacing w:val="-1"/>
        </w:rPr>
        <w:t>rationalization of</w:t>
      </w:r>
      <w:r w:rsidR="00B84467" w:rsidRPr="003C3517">
        <w:rPr>
          <w:color w:val="231F20"/>
          <w:spacing w:val="2"/>
        </w:rPr>
        <w:t xml:space="preserve"> </w:t>
      </w:r>
      <w:r w:rsidR="00B84467" w:rsidRPr="003C3517">
        <w:rPr>
          <w:color w:val="231F20"/>
          <w:spacing w:val="-1"/>
        </w:rPr>
        <w:t>existing</w:t>
      </w:r>
      <w:r w:rsidR="00B84467" w:rsidRPr="003C3517">
        <w:rPr>
          <w:color w:val="231F20"/>
          <w:spacing w:val="2"/>
        </w:rPr>
        <w:t xml:space="preserve"> </w:t>
      </w:r>
      <w:r w:rsidR="00B84467" w:rsidRPr="003C3517">
        <w:rPr>
          <w:color w:val="231F20"/>
          <w:spacing w:val="-1"/>
        </w:rPr>
        <w:t>systems,</w:t>
      </w:r>
      <w:r w:rsidR="00B84467" w:rsidRPr="003C3517">
        <w:rPr>
          <w:color w:val="231F20"/>
        </w:rPr>
        <w:t xml:space="preserve"> </w:t>
      </w:r>
      <w:r w:rsidR="00B84467" w:rsidRPr="003C3517">
        <w:rPr>
          <w:color w:val="231F20"/>
          <w:spacing w:val="-1"/>
        </w:rPr>
        <w:t>applications</w:t>
      </w:r>
      <w:r w:rsidR="00B84467" w:rsidRPr="003C3517">
        <w:rPr>
          <w:color w:val="231F20"/>
        </w:rPr>
        <w:t xml:space="preserve"> and </w:t>
      </w:r>
      <w:r w:rsidR="00B84467" w:rsidRPr="003C3517">
        <w:rPr>
          <w:color w:val="231F20"/>
          <w:spacing w:val="-1"/>
        </w:rPr>
        <w:t>associated</w:t>
      </w:r>
      <w:r w:rsidR="00B84467" w:rsidRPr="003C3517">
        <w:rPr>
          <w:color w:val="231F20"/>
          <w:spacing w:val="55"/>
        </w:rPr>
        <w:t xml:space="preserve"> </w:t>
      </w:r>
      <w:r w:rsidR="00B84467" w:rsidRPr="003C3517">
        <w:rPr>
          <w:color w:val="231F20"/>
          <w:spacing w:val="-1"/>
        </w:rPr>
        <w:t>data</w:t>
      </w:r>
      <w:r w:rsidR="00B84467" w:rsidRPr="003C3517">
        <w:rPr>
          <w:color w:val="231F20"/>
          <w:spacing w:val="-2"/>
        </w:rPr>
        <w:t xml:space="preserve"> </w:t>
      </w:r>
      <w:r w:rsidR="00B84467" w:rsidRPr="003C3517">
        <w:rPr>
          <w:color w:val="231F20"/>
          <w:spacing w:val="-1"/>
        </w:rPr>
        <w:t xml:space="preserve">(i.e., </w:t>
      </w:r>
      <w:r w:rsidR="00B84467" w:rsidRPr="003C3517">
        <w:rPr>
          <w:color w:val="231F20"/>
        </w:rPr>
        <w:t>the</w:t>
      </w:r>
      <w:r w:rsidR="00B84467" w:rsidRPr="003C3517">
        <w:rPr>
          <w:color w:val="231F20"/>
          <w:spacing w:val="-1"/>
        </w:rPr>
        <w:t xml:space="preserve"> use</w:t>
      </w:r>
      <w:r w:rsidR="00B84467" w:rsidRPr="003C3517">
        <w:rPr>
          <w:color w:val="231F20"/>
        </w:rPr>
        <w:t xml:space="preserve"> </w:t>
      </w:r>
      <w:r w:rsidR="00B84467" w:rsidRPr="003C3517">
        <w:rPr>
          <w:color w:val="231F20"/>
          <w:spacing w:val="-2"/>
        </w:rPr>
        <w:t>of</w:t>
      </w:r>
      <w:r w:rsidR="00B84467" w:rsidRPr="003C3517">
        <w:rPr>
          <w:color w:val="231F20"/>
        </w:rPr>
        <w:t xml:space="preserve"> </w:t>
      </w:r>
      <w:r w:rsidR="00B84467" w:rsidRPr="003C3517">
        <w:rPr>
          <w:color w:val="231F20"/>
          <w:spacing w:val="-1"/>
        </w:rPr>
        <w:t>authoritative</w:t>
      </w:r>
      <w:r w:rsidR="00B84467" w:rsidRPr="003C3517">
        <w:rPr>
          <w:color w:val="231F20"/>
        </w:rPr>
        <w:t xml:space="preserve"> </w:t>
      </w:r>
      <w:r w:rsidR="00B84467" w:rsidRPr="003C3517">
        <w:rPr>
          <w:color w:val="231F20"/>
          <w:spacing w:val="-1"/>
        </w:rPr>
        <w:t>data</w:t>
      </w:r>
      <w:r w:rsidR="00B84467" w:rsidRPr="003C3517">
        <w:rPr>
          <w:color w:val="231F20"/>
          <w:spacing w:val="-2"/>
        </w:rPr>
        <w:t xml:space="preserve"> sources) </w:t>
      </w:r>
      <w:r w:rsidR="00B84467" w:rsidRPr="003C3517">
        <w:rPr>
          <w:color w:val="231F20"/>
          <w:spacing w:val="-1"/>
        </w:rPr>
        <w:t>while</w:t>
      </w:r>
      <w:r w:rsidR="00B84467" w:rsidRPr="003C3517">
        <w:rPr>
          <w:color w:val="231F20"/>
        </w:rPr>
        <w:t xml:space="preserve"> </w:t>
      </w:r>
      <w:r w:rsidR="00B84467" w:rsidRPr="003C3517">
        <w:rPr>
          <w:color w:val="231F20"/>
          <w:spacing w:val="-1"/>
        </w:rPr>
        <w:t>determining</w:t>
      </w:r>
      <w:r w:rsidR="00B84467" w:rsidRPr="00B94756">
        <w:rPr>
          <w:color w:val="231F20"/>
        </w:rPr>
        <w:t xml:space="preserve"> </w:t>
      </w:r>
      <w:r w:rsidR="00B84467" w:rsidRPr="00B94756">
        <w:rPr>
          <w:color w:val="231F20"/>
          <w:spacing w:val="-1"/>
        </w:rPr>
        <w:t>the</w:t>
      </w:r>
      <w:r w:rsidR="00B84467" w:rsidRPr="00B94756">
        <w:rPr>
          <w:color w:val="231F20"/>
          <w:spacing w:val="-2"/>
        </w:rPr>
        <w:t xml:space="preserve"> </w:t>
      </w:r>
      <w:r w:rsidR="00B84467" w:rsidRPr="00B94756">
        <w:rPr>
          <w:color w:val="231F20"/>
          <w:spacing w:val="-1"/>
        </w:rPr>
        <w:t>most</w:t>
      </w:r>
      <w:r w:rsidR="00B84467" w:rsidRPr="00B94756">
        <w:rPr>
          <w:color w:val="231F20"/>
          <w:spacing w:val="2"/>
        </w:rPr>
        <w:t xml:space="preserve"> </w:t>
      </w:r>
      <w:r w:rsidR="00B84467" w:rsidRPr="00B94756">
        <w:rPr>
          <w:color w:val="231F20"/>
          <w:spacing w:val="-1"/>
        </w:rPr>
        <w:t>appropriate</w:t>
      </w:r>
      <w:r w:rsidR="00B84467" w:rsidRPr="00B94756">
        <w:rPr>
          <w:color w:val="231F20"/>
          <w:spacing w:val="5"/>
        </w:rPr>
        <w:t xml:space="preserve"> </w:t>
      </w:r>
      <w:r w:rsidR="00B84467" w:rsidRPr="00B94756">
        <w:rPr>
          <w:color w:val="231F20"/>
          <w:spacing w:val="-2"/>
        </w:rPr>
        <w:t>deployment</w:t>
      </w:r>
      <w:r w:rsidR="00B84467" w:rsidRPr="00B94756">
        <w:rPr>
          <w:color w:val="231F20"/>
        </w:rPr>
        <w:t xml:space="preserve"> </w:t>
      </w:r>
      <w:r w:rsidR="00B84467" w:rsidRPr="00B94756">
        <w:rPr>
          <w:color w:val="231F20"/>
          <w:spacing w:val="-1"/>
        </w:rPr>
        <w:t>model</w:t>
      </w:r>
      <w:r w:rsidR="00B84467" w:rsidRPr="00B94756">
        <w:rPr>
          <w:color w:val="231F20"/>
          <w:spacing w:val="-3"/>
        </w:rPr>
        <w:t xml:space="preserve"> </w:t>
      </w:r>
      <w:r w:rsidR="00B84467" w:rsidRPr="00B94756">
        <w:rPr>
          <w:color w:val="231F20"/>
        </w:rPr>
        <w:t>for</w:t>
      </w:r>
      <w:r w:rsidR="00B84467" w:rsidRPr="00B94756">
        <w:rPr>
          <w:color w:val="231F20"/>
          <w:spacing w:val="-1"/>
        </w:rPr>
        <w:t xml:space="preserve"> migration</w:t>
      </w:r>
      <w:r w:rsidR="00B84467" w:rsidRPr="00B94756">
        <w:rPr>
          <w:color w:val="231F20"/>
        </w:rPr>
        <w:t xml:space="preserve"> and </w:t>
      </w:r>
      <w:r w:rsidR="00B84467" w:rsidRPr="00211528">
        <w:rPr>
          <w:color w:val="231F20"/>
          <w:spacing w:val="-1"/>
        </w:rPr>
        <w:t>improving</w:t>
      </w:r>
      <w:r w:rsidR="00B84467" w:rsidRPr="00211528">
        <w:rPr>
          <w:color w:val="231F20"/>
          <w:spacing w:val="1"/>
        </w:rPr>
        <w:t xml:space="preserve"> </w:t>
      </w:r>
      <w:r w:rsidR="00B84467" w:rsidRPr="00211528">
        <w:rPr>
          <w:color w:val="231F20"/>
        </w:rPr>
        <w:t>secure</w:t>
      </w:r>
      <w:r w:rsidR="00B84467" w:rsidRPr="00211528">
        <w:rPr>
          <w:color w:val="231F20"/>
          <w:spacing w:val="-5"/>
        </w:rPr>
        <w:t xml:space="preserve"> </w:t>
      </w:r>
      <w:r w:rsidR="00B84467" w:rsidRPr="00211528">
        <w:rPr>
          <w:color w:val="231F20"/>
          <w:spacing w:val="-1"/>
        </w:rPr>
        <w:t xml:space="preserve">mobile </w:t>
      </w:r>
      <w:r w:rsidR="00B84467" w:rsidRPr="00211528">
        <w:rPr>
          <w:color w:val="231F20"/>
          <w:spacing w:val="-2"/>
        </w:rPr>
        <w:t>computing</w:t>
      </w:r>
      <w:r w:rsidR="00B84467" w:rsidRPr="00211528">
        <w:rPr>
          <w:color w:val="231F20"/>
          <w:spacing w:val="61"/>
        </w:rPr>
        <w:t xml:space="preserve"> </w:t>
      </w:r>
      <w:r w:rsidR="00B84467" w:rsidRPr="00211528">
        <w:rPr>
          <w:color w:val="231F20"/>
          <w:spacing w:val="-1"/>
        </w:rPr>
        <w:t>capabilities.</w:t>
      </w:r>
    </w:p>
    <w:p w:rsidR="003C3517" w:rsidRPr="00331E6E" w:rsidRDefault="003C3517" w:rsidP="00742544">
      <w:pPr>
        <w:pStyle w:val="ListParagraph"/>
        <w:numPr>
          <w:ilvl w:val="0"/>
          <w:numId w:val="32"/>
        </w:numPr>
      </w:pPr>
      <w:r>
        <w:t xml:space="preserve">DHS will continue </w:t>
      </w:r>
      <w:r w:rsidR="00794612">
        <w:t xml:space="preserve">to </w:t>
      </w:r>
      <w:r w:rsidR="00794612" w:rsidRPr="003C3517">
        <w:rPr>
          <w:color w:val="231F20"/>
          <w:spacing w:val="-2"/>
        </w:rPr>
        <w:t>capitalize</w:t>
      </w:r>
      <w:r w:rsidR="00B84467" w:rsidRPr="003C3517">
        <w:rPr>
          <w:color w:val="231F20"/>
          <w:spacing w:val="-1"/>
        </w:rPr>
        <w:t xml:space="preserve"> on the</w:t>
      </w:r>
      <w:r w:rsidR="00B84467" w:rsidRPr="003C3517">
        <w:rPr>
          <w:color w:val="231F20"/>
        </w:rPr>
        <w:t xml:space="preserve"> </w:t>
      </w:r>
      <w:proofErr w:type="spellStart"/>
      <w:r w:rsidR="00B84467" w:rsidRPr="003C3517">
        <w:rPr>
          <w:color w:val="231F20"/>
          <w:spacing w:val="-1"/>
        </w:rPr>
        <w:t>FedRAMP</w:t>
      </w:r>
      <w:proofErr w:type="spellEnd"/>
      <w:r w:rsidR="00B84467" w:rsidRPr="003C3517">
        <w:rPr>
          <w:color w:val="231F20"/>
          <w:spacing w:val="-1"/>
        </w:rPr>
        <w:t xml:space="preserve"> and</w:t>
      </w:r>
      <w:r w:rsidR="00B84467" w:rsidRPr="003C3517">
        <w:rPr>
          <w:color w:val="231F20"/>
          <w:spacing w:val="-2"/>
        </w:rPr>
        <w:t xml:space="preserve"> DHS-approved</w:t>
      </w:r>
      <w:r w:rsidR="00B84467" w:rsidRPr="003C3517">
        <w:rPr>
          <w:color w:val="231F20"/>
          <w:spacing w:val="-1"/>
        </w:rPr>
        <w:t xml:space="preserve"> service providers</w:t>
      </w:r>
      <w:r w:rsidR="00B84467" w:rsidRPr="003C3517">
        <w:rPr>
          <w:color w:val="231F20"/>
        </w:rPr>
        <w:t xml:space="preserve"> to</w:t>
      </w:r>
      <w:r w:rsidR="00B84467" w:rsidRPr="003C3517">
        <w:rPr>
          <w:color w:val="231F20"/>
          <w:spacing w:val="-3"/>
        </w:rPr>
        <w:t xml:space="preserve"> </w:t>
      </w:r>
      <w:r w:rsidR="00B84467" w:rsidRPr="003C3517">
        <w:rPr>
          <w:color w:val="231F20"/>
        </w:rPr>
        <w:t>the</w:t>
      </w:r>
      <w:r w:rsidR="00B84467" w:rsidRPr="003C3517">
        <w:rPr>
          <w:color w:val="231F20"/>
          <w:spacing w:val="-2"/>
        </w:rPr>
        <w:t xml:space="preserve"> </w:t>
      </w:r>
      <w:r w:rsidR="00B84467" w:rsidRPr="003C3517">
        <w:rPr>
          <w:color w:val="231F20"/>
          <w:spacing w:val="-1"/>
        </w:rPr>
        <w:t>extent</w:t>
      </w:r>
      <w:r w:rsidR="00B84467" w:rsidRPr="003C3517">
        <w:rPr>
          <w:color w:val="231F20"/>
          <w:spacing w:val="65"/>
        </w:rPr>
        <w:t xml:space="preserve"> </w:t>
      </w:r>
      <w:r w:rsidR="00B84467" w:rsidRPr="003C3517">
        <w:rPr>
          <w:color w:val="231F20"/>
          <w:spacing w:val="-1"/>
        </w:rPr>
        <w:t xml:space="preserve">that doing </w:t>
      </w:r>
      <w:r w:rsidR="00B84467" w:rsidRPr="003C3517">
        <w:rPr>
          <w:color w:val="231F20"/>
        </w:rPr>
        <w:t>so</w:t>
      </w:r>
      <w:r w:rsidR="00B84467" w:rsidRPr="003C3517">
        <w:rPr>
          <w:color w:val="231F20"/>
          <w:spacing w:val="-2"/>
        </w:rPr>
        <w:t xml:space="preserve"> </w:t>
      </w:r>
      <w:r w:rsidR="00B84467" w:rsidRPr="003C3517">
        <w:rPr>
          <w:color w:val="231F20"/>
          <w:spacing w:val="-1"/>
        </w:rPr>
        <w:t>aligns</w:t>
      </w:r>
      <w:r w:rsidR="00B84467" w:rsidRPr="003C3517">
        <w:rPr>
          <w:color w:val="231F20"/>
          <w:spacing w:val="-3"/>
        </w:rPr>
        <w:t xml:space="preserve"> </w:t>
      </w:r>
      <w:r w:rsidR="00B84467" w:rsidRPr="003C3517">
        <w:rPr>
          <w:color w:val="231F20"/>
          <w:spacing w:val="-2"/>
        </w:rPr>
        <w:t>with</w:t>
      </w:r>
      <w:r w:rsidR="00B84467" w:rsidRPr="003C3517">
        <w:rPr>
          <w:color w:val="231F20"/>
        </w:rPr>
        <w:t xml:space="preserve"> </w:t>
      </w:r>
      <w:r w:rsidR="00B84467" w:rsidRPr="003C3517">
        <w:rPr>
          <w:color w:val="231F20"/>
          <w:spacing w:val="-1"/>
        </w:rPr>
        <w:t>mission requirements</w:t>
      </w:r>
      <w:r w:rsidR="00B84467" w:rsidRPr="003C3517">
        <w:rPr>
          <w:color w:val="231F20"/>
        </w:rPr>
        <w:t xml:space="preserve"> </w:t>
      </w:r>
      <w:r w:rsidR="00B84467" w:rsidRPr="003C3517">
        <w:rPr>
          <w:color w:val="231F20"/>
          <w:spacing w:val="-2"/>
        </w:rPr>
        <w:t>without</w:t>
      </w:r>
      <w:r w:rsidR="00B84467" w:rsidRPr="003C3517">
        <w:rPr>
          <w:color w:val="231F20"/>
        </w:rPr>
        <w:t xml:space="preserve"> </w:t>
      </w:r>
      <w:r w:rsidR="00B84467" w:rsidRPr="003C3517">
        <w:rPr>
          <w:color w:val="231F20"/>
          <w:spacing w:val="-1"/>
        </w:rPr>
        <w:t>compromising</w:t>
      </w:r>
      <w:r w:rsidR="00B84467" w:rsidRPr="003C3517">
        <w:rPr>
          <w:color w:val="231F20"/>
          <w:spacing w:val="2"/>
        </w:rPr>
        <w:t xml:space="preserve"> </w:t>
      </w:r>
      <w:r w:rsidR="00B84467" w:rsidRPr="003C3517">
        <w:rPr>
          <w:color w:val="231F20"/>
          <w:spacing w:val="-1"/>
        </w:rPr>
        <w:t>security.</w:t>
      </w:r>
    </w:p>
    <w:p w:rsidR="003C3517" w:rsidRPr="00331E6E" w:rsidRDefault="00B84467" w:rsidP="00742544">
      <w:pPr>
        <w:pStyle w:val="ListParagraph"/>
        <w:numPr>
          <w:ilvl w:val="0"/>
          <w:numId w:val="32"/>
        </w:numPr>
        <w:rPr>
          <w:color w:val="231F20"/>
        </w:rPr>
      </w:pPr>
      <w:r w:rsidRPr="00331E6E">
        <w:rPr>
          <w:color w:val="231F20"/>
          <w:spacing w:val="5"/>
        </w:rPr>
        <w:t xml:space="preserve">In order </w:t>
      </w:r>
      <w:r w:rsidRPr="00331E6E">
        <w:rPr>
          <w:color w:val="231F20"/>
          <w:spacing w:val="-2"/>
        </w:rPr>
        <w:t>to reduce the amount of contracting</w:t>
      </w:r>
      <w:r w:rsidR="00C616DA">
        <w:rPr>
          <w:color w:val="231F20"/>
          <w:spacing w:val="-2"/>
        </w:rPr>
        <w:t xml:space="preserve"> lead time</w:t>
      </w:r>
      <w:r w:rsidRPr="00331E6E">
        <w:rPr>
          <w:color w:val="231F20"/>
          <w:spacing w:val="-2"/>
        </w:rPr>
        <w:t>, shorten implementation timelines, and effectively keep pace with the emerging market; DHS</w:t>
      </w:r>
      <w:r w:rsidR="005017D6" w:rsidRPr="00331E6E">
        <w:rPr>
          <w:color w:val="231F20"/>
          <w:spacing w:val="-2"/>
        </w:rPr>
        <w:t xml:space="preserve"> has</w:t>
      </w:r>
      <w:r w:rsidRPr="00331E6E">
        <w:rPr>
          <w:color w:val="231F20"/>
          <w:spacing w:val="-2"/>
        </w:rPr>
        <w:t xml:space="preserve"> establish</w:t>
      </w:r>
      <w:r w:rsidR="005017D6" w:rsidRPr="00331E6E">
        <w:rPr>
          <w:color w:val="231F20"/>
          <w:spacing w:val="-2"/>
        </w:rPr>
        <w:t>ed</w:t>
      </w:r>
      <w:r w:rsidRPr="00331E6E">
        <w:rPr>
          <w:color w:val="231F20"/>
          <w:spacing w:val="-2"/>
        </w:rPr>
        <w:t xml:space="preserve"> the ECS </w:t>
      </w:r>
      <w:r w:rsidR="003C3517" w:rsidRPr="00331E6E">
        <w:rPr>
          <w:color w:val="231F20"/>
          <w:spacing w:val="-2"/>
        </w:rPr>
        <w:t xml:space="preserve">framework </w:t>
      </w:r>
      <w:r w:rsidRPr="00331E6E">
        <w:rPr>
          <w:color w:val="231F20"/>
          <w:spacing w:val="-2"/>
        </w:rPr>
        <w:t xml:space="preserve">to </w:t>
      </w:r>
      <w:r>
        <w:t xml:space="preserve">build upon the current Enterprise Data Center (EDC) capabilities.  The </w:t>
      </w:r>
      <w:r w:rsidR="00C616DA">
        <w:t xml:space="preserve">DHS </w:t>
      </w:r>
      <w:r>
        <w:t xml:space="preserve">ECS expands </w:t>
      </w:r>
      <w:r w:rsidR="00C616DA">
        <w:t>enterprise capabilities by providing access to multi-provider and commercial, as well as DHS-owned,</w:t>
      </w:r>
      <w:r>
        <w:t xml:space="preserve"> services through the EDC that are shared, on demand, and take advance of Public, Private, Hybrid, Community, as well as IaaS, PaaS, SaaS).</w:t>
      </w:r>
      <w:r w:rsidR="003C3517">
        <w:t xml:space="preserve">  </w:t>
      </w:r>
      <w:r w:rsidR="003C3517" w:rsidRPr="00331E6E">
        <w:rPr>
          <w:color w:val="231F20"/>
        </w:rPr>
        <w:t xml:space="preserve">DHS will utilize the ECS framework as a holistic and enterprise approach to promote the use of approved </w:t>
      </w:r>
      <w:r w:rsidR="00C616DA">
        <w:rPr>
          <w:color w:val="231F20"/>
        </w:rPr>
        <w:t xml:space="preserve">DHS ECS </w:t>
      </w:r>
      <w:r w:rsidR="003C3517" w:rsidRPr="00331E6E">
        <w:rPr>
          <w:color w:val="231F20"/>
        </w:rPr>
        <w:t xml:space="preserve">providers.  The ECS framework identifies the people, processes, and tools necessary to facilitate the appropriate decisions for selecting the path for provisioning the required infrastructure computing services.  </w:t>
      </w:r>
      <w:r w:rsidR="00176077">
        <w:rPr>
          <w:color w:val="231F20"/>
        </w:rPr>
        <w:t xml:space="preserve">Figure </w:t>
      </w:r>
      <w:r w:rsidR="00BE605C">
        <w:rPr>
          <w:color w:val="231F20"/>
        </w:rPr>
        <w:t>1</w:t>
      </w:r>
      <w:r w:rsidR="003C3517" w:rsidRPr="00331E6E">
        <w:rPr>
          <w:color w:val="231F20"/>
        </w:rPr>
        <w:t xml:space="preserve"> illustrates the upfront decisions that need to be considered when leveraging the ECS framework.</w:t>
      </w:r>
    </w:p>
    <w:p w:rsidR="003C3517" w:rsidRPr="00CE2B5F" w:rsidRDefault="003C3517" w:rsidP="003C3517">
      <w:pPr>
        <w:keepNext/>
      </w:pPr>
      <w:r>
        <w:rPr>
          <w:noProof/>
        </w:rPr>
        <w:drawing>
          <wp:inline distT="0" distB="0" distL="0" distR="0" wp14:anchorId="6C8DE9CD" wp14:editId="1B4F3F08">
            <wp:extent cx="6121400" cy="2122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1400" cy="2122805"/>
                    </a:xfrm>
                    <a:prstGeom prst="rect">
                      <a:avLst/>
                    </a:prstGeom>
                    <a:noFill/>
                  </pic:spPr>
                </pic:pic>
              </a:graphicData>
            </a:graphic>
          </wp:inline>
        </w:drawing>
      </w:r>
    </w:p>
    <w:p w:rsidR="003C3517" w:rsidRDefault="003C3517" w:rsidP="003C3517">
      <w:pPr>
        <w:pStyle w:val="Caption"/>
        <w:jc w:val="center"/>
      </w:pPr>
      <w:bookmarkStart w:id="12" w:name="_Toc475635601"/>
      <w:r>
        <w:t xml:space="preserve">Figure </w:t>
      </w:r>
      <w:fldSimple w:instr=" SEQ Figure \* ARABIC ">
        <w:r w:rsidR="00C63078">
          <w:rPr>
            <w:noProof/>
          </w:rPr>
          <w:t>1</w:t>
        </w:r>
      </w:fldSimple>
      <w:r w:rsidR="00176077">
        <w:t>: DHS Enterprise Computing Services Overview</w:t>
      </w:r>
      <w:bookmarkEnd w:id="12"/>
    </w:p>
    <w:p w:rsidR="00B84467" w:rsidRPr="00377EE0" w:rsidRDefault="00B84467" w:rsidP="00B84467"/>
    <w:p w:rsidR="00B82278" w:rsidRDefault="00B84467" w:rsidP="00B84467">
      <w:r>
        <w:t>DHS’</w:t>
      </w:r>
      <w:r w:rsidRPr="00F37C8E">
        <w:t xml:space="preserve"> </w:t>
      </w:r>
      <w:r w:rsidR="00D656AE">
        <w:t xml:space="preserve">strategy </w:t>
      </w:r>
      <w:r w:rsidR="00FD29DF">
        <w:t xml:space="preserve">will </w:t>
      </w:r>
      <w:r w:rsidRPr="00F37C8E">
        <w:t xml:space="preserve">ensure </w:t>
      </w:r>
      <w:r w:rsidR="001C42B5">
        <w:t xml:space="preserve">that there will be </w:t>
      </w:r>
      <w:r w:rsidRPr="00F37C8E">
        <w:t>IT service</w:t>
      </w:r>
      <w:r w:rsidR="001C42B5">
        <w:t xml:space="preserve"> options that</w:t>
      </w:r>
      <w:r w:rsidRPr="00F37C8E">
        <w:t xml:space="preserve"> are aligned to the business needs </w:t>
      </w:r>
      <w:r>
        <w:t xml:space="preserve">of </w:t>
      </w:r>
      <w:r w:rsidR="00A406E8">
        <w:t xml:space="preserve">DHS IT and Non-IT </w:t>
      </w:r>
      <w:r w:rsidR="00FD29DF">
        <w:t>program</w:t>
      </w:r>
      <w:r w:rsidR="00A406E8">
        <w:t>s</w:t>
      </w:r>
      <w:r w:rsidR="00794612">
        <w:t>.</w:t>
      </w:r>
      <w:r w:rsidR="00176077">
        <w:t xml:space="preserve">  </w:t>
      </w:r>
      <w:r>
        <w:rPr>
          <w:color w:val="231F20"/>
        </w:rPr>
        <w:t>To accomplish this</w:t>
      </w:r>
      <w:r w:rsidR="001C42B5">
        <w:rPr>
          <w:color w:val="231F20"/>
        </w:rPr>
        <w:t>,</w:t>
      </w:r>
      <w:r>
        <w:rPr>
          <w:color w:val="231F20"/>
        </w:rPr>
        <w:t xml:space="preserve"> DH</w:t>
      </w:r>
      <w:r w:rsidRPr="00F37C8E">
        <w:rPr>
          <w:color w:val="231F20"/>
        </w:rPr>
        <w:t>S</w:t>
      </w:r>
      <w:r>
        <w:rPr>
          <w:color w:val="231F20"/>
        </w:rPr>
        <w:t xml:space="preserve"> will </w:t>
      </w:r>
      <w:r w:rsidR="00794612">
        <w:rPr>
          <w:color w:val="231F20"/>
        </w:rPr>
        <w:t>apply the</w:t>
      </w:r>
      <w:r>
        <w:rPr>
          <w:color w:val="231F20"/>
        </w:rPr>
        <w:t xml:space="preserve"> </w:t>
      </w:r>
      <w:r w:rsidR="001C42B5">
        <w:rPr>
          <w:color w:val="231F20"/>
        </w:rPr>
        <w:t xml:space="preserve">repeatable process of the </w:t>
      </w:r>
      <w:r>
        <w:rPr>
          <w:color w:val="231F20"/>
        </w:rPr>
        <w:t>S</w:t>
      </w:r>
      <w:r w:rsidRPr="00F37C8E">
        <w:rPr>
          <w:color w:val="231F20"/>
        </w:rPr>
        <w:t xml:space="preserve">ervice Management </w:t>
      </w:r>
      <w:r>
        <w:rPr>
          <w:color w:val="231F20"/>
        </w:rPr>
        <w:t xml:space="preserve">Framework and </w:t>
      </w:r>
      <w:r w:rsidR="00794612">
        <w:rPr>
          <w:color w:val="231F20"/>
        </w:rPr>
        <w:t>governance to</w:t>
      </w:r>
      <w:r w:rsidR="002464A2">
        <w:rPr>
          <w:color w:val="231F20"/>
        </w:rPr>
        <w:t xml:space="preserve"> implement, manage, and support </w:t>
      </w:r>
      <w:r w:rsidR="008A2DDB">
        <w:rPr>
          <w:color w:val="231F20"/>
        </w:rPr>
        <w:t>on-demand access to a shared pool of</w:t>
      </w:r>
      <w:r w:rsidR="00C616DA">
        <w:rPr>
          <w:color w:val="231F20"/>
        </w:rPr>
        <w:t xml:space="preserve"> internet-based</w:t>
      </w:r>
      <w:r w:rsidR="00A406E8">
        <w:rPr>
          <w:color w:val="231F20"/>
        </w:rPr>
        <w:t xml:space="preserve"> computing </w:t>
      </w:r>
      <w:r w:rsidR="008A2DDB">
        <w:rPr>
          <w:color w:val="231F20"/>
        </w:rPr>
        <w:t>resources</w:t>
      </w:r>
      <w:r w:rsidR="002464A2">
        <w:rPr>
          <w:rStyle w:val="FootnoteReference"/>
          <w:color w:val="231F20"/>
        </w:rPr>
        <w:footnoteReference w:id="20"/>
      </w:r>
      <w:r w:rsidR="00A406E8">
        <w:rPr>
          <w:color w:val="231F20"/>
        </w:rPr>
        <w:t xml:space="preserve"> that can be provisioned rapidly and released with minimal management effort and zero loss of productivity</w:t>
      </w:r>
      <w:r w:rsidRPr="00F37C8E">
        <w:rPr>
          <w:color w:val="231F20"/>
        </w:rPr>
        <w:t xml:space="preserve"> to ensure customer requirements are being met consistently.  </w:t>
      </w:r>
      <w:r w:rsidR="002464A2">
        <w:t xml:space="preserve">DHS’ </w:t>
      </w:r>
      <w:r w:rsidR="00794612">
        <w:t>strategy will</w:t>
      </w:r>
      <w:r w:rsidR="002464A2">
        <w:t xml:space="preserve"> ensure that prospective </w:t>
      </w:r>
      <w:r w:rsidR="00D656AE">
        <w:t xml:space="preserve">service providers </w:t>
      </w:r>
      <w:r w:rsidR="005B46EF">
        <w:t xml:space="preserve">that are external (to DHS) </w:t>
      </w:r>
      <w:r w:rsidR="00C47DB1">
        <w:t>have a demonstrably proven performance record</w:t>
      </w:r>
      <w:r w:rsidR="005B46EF">
        <w:t xml:space="preserve"> and meet all DHS compliance, privacy, and security requirements.  Our strategy will ensure that existing and prospective </w:t>
      </w:r>
      <w:r w:rsidR="002464A2">
        <w:t xml:space="preserve">service </w:t>
      </w:r>
      <w:r w:rsidR="00D656AE">
        <w:t>providers</w:t>
      </w:r>
      <w:r w:rsidR="002464A2">
        <w:t xml:space="preserve"> </w:t>
      </w:r>
      <w:r w:rsidR="005B46EF">
        <w:t xml:space="preserve">that are internal (to DHS) </w:t>
      </w:r>
      <w:r w:rsidR="002464A2">
        <w:t xml:space="preserve">have </w:t>
      </w:r>
      <w:r w:rsidRPr="00F37C8E">
        <w:t>conduct</w:t>
      </w:r>
      <w:r w:rsidR="002464A2">
        <w:t>ed a comprehensive</w:t>
      </w:r>
      <w:r w:rsidRPr="00F37C8E">
        <w:t xml:space="preserve"> business analysis</w:t>
      </w:r>
      <w:r w:rsidR="002464A2">
        <w:t xml:space="preserve"> to establish that the requirement </w:t>
      </w:r>
      <w:r w:rsidR="00794612">
        <w:t>cannot</w:t>
      </w:r>
      <w:r w:rsidR="002464A2">
        <w:t xml:space="preserve"> be met by existing private or public applications</w:t>
      </w:r>
      <w:r w:rsidR="008215AE">
        <w:t>,</w:t>
      </w:r>
      <w:r w:rsidR="002464A2">
        <w:t xml:space="preserve"> services</w:t>
      </w:r>
      <w:r w:rsidR="008215AE">
        <w:t>, and models;</w:t>
      </w:r>
      <w:r w:rsidRPr="00F37C8E">
        <w:t xml:space="preserve"> </w:t>
      </w:r>
      <w:r w:rsidR="00794612">
        <w:t xml:space="preserve">constructed </w:t>
      </w:r>
      <w:r w:rsidR="00794612" w:rsidRPr="00F37C8E">
        <w:t>a</w:t>
      </w:r>
      <w:r w:rsidRPr="00F37C8E">
        <w:t xml:space="preserve"> </w:t>
      </w:r>
      <w:r w:rsidR="002464A2">
        <w:t xml:space="preserve">well-documented </w:t>
      </w:r>
      <w:r w:rsidRPr="00F37C8E">
        <w:t>business case</w:t>
      </w:r>
      <w:r w:rsidR="008215AE">
        <w:t>;</w:t>
      </w:r>
      <w:r w:rsidRPr="00F37C8E">
        <w:t xml:space="preserve"> source</w:t>
      </w:r>
      <w:r w:rsidR="002464A2">
        <w:t>d</w:t>
      </w:r>
      <w:r w:rsidRPr="00F37C8E">
        <w:t xml:space="preserve"> </w:t>
      </w:r>
      <w:r w:rsidR="008215AE">
        <w:t>the</w:t>
      </w:r>
      <w:r w:rsidRPr="00F37C8E">
        <w:t xml:space="preserve"> </w:t>
      </w:r>
      <w:r>
        <w:t>service provider</w:t>
      </w:r>
      <w:r w:rsidR="008215AE">
        <w:t>(s);</w:t>
      </w:r>
      <w:r w:rsidRPr="00F37C8E">
        <w:t xml:space="preserve"> </w:t>
      </w:r>
      <w:r w:rsidR="008215AE">
        <w:t xml:space="preserve">and </w:t>
      </w:r>
      <w:r w:rsidRPr="00F37C8E">
        <w:t>plan</w:t>
      </w:r>
      <w:r w:rsidR="008215AE">
        <w:t>ned</w:t>
      </w:r>
      <w:r w:rsidRPr="00F37C8E">
        <w:t>, procure</w:t>
      </w:r>
      <w:r w:rsidR="008215AE">
        <w:t>d</w:t>
      </w:r>
      <w:r w:rsidRPr="00F37C8E">
        <w:t>, implement</w:t>
      </w:r>
      <w:r w:rsidR="008215AE">
        <w:t>ed</w:t>
      </w:r>
      <w:r w:rsidRPr="00F37C8E">
        <w:t xml:space="preserve">, and </w:t>
      </w:r>
      <w:r w:rsidR="00794612" w:rsidRPr="00F37C8E">
        <w:t>assess</w:t>
      </w:r>
      <w:r w:rsidR="00794612">
        <w:t>ed</w:t>
      </w:r>
      <w:r w:rsidR="00794612" w:rsidRPr="00F37C8E">
        <w:t xml:space="preserve"> the</w:t>
      </w:r>
      <w:r w:rsidRPr="00F37C8E">
        <w:t xml:space="preserve"> continued quality and </w:t>
      </w:r>
      <w:r w:rsidR="008215AE">
        <w:t xml:space="preserve">performance </w:t>
      </w:r>
      <w:r w:rsidRPr="00F37C8E">
        <w:t xml:space="preserve">of the solution. </w:t>
      </w:r>
      <w:r w:rsidR="00176077">
        <w:t xml:space="preserve"> </w:t>
      </w:r>
      <w:r w:rsidR="0027792F">
        <w:t>Finally</w:t>
      </w:r>
      <w:r w:rsidR="00AB28B5">
        <w:t xml:space="preserve">, </w:t>
      </w:r>
      <w:r w:rsidR="00D656AE">
        <w:t xml:space="preserve">DHS’ strategy will </w:t>
      </w:r>
      <w:r w:rsidR="00F45596">
        <w:t>ensure technical and managerial support to the Program Manager in ev</w:t>
      </w:r>
      <w:r w:rsidR="00176077">
        <w:t>aluating the potential for enterprise computer service</w:t>
      </w:r>
      <w:r w:rsidR="00F45596">
        <w:t xml:space="preserve"> solutions to deliver improved </w:t>
      </w:r>
      <w:r w:rsidR="00B82278">
        <w:t xml:space="preserve">mission (or business) </w:t>
      </w:r>
      <w:r w:rsidR="00F45596">
        <w:t xml:space="preserve">performance at a lower cost through </w:t>
      </w:r>
      <w:r w:rsidR="00B82278">
        <w:t xml:space="preserve">internet-based </w:t>
      </w:r>
      <w:r w:rsidR="00F45596">
        <w:t>data integration, scalability, control, and security</w:t>
      </w:r>
      <w:r w:rsidR="00B82278">
        <w:t>.</w:t>
      </w:r>
    </w:p>
    <w:p w:rsidR="00B84467" w:rsidRPr="0092172B" w:rsidRDefault="00B84467" w:rsidP="00B84467">
      <w:r>
        <w:t>D</w:t>
      </w:r>
      <w:r w:rsidRPr="00F37C8E">
        <w:t xml:space="preserve">ue to the wide variety of architectures, configuration items, </w:t>
      </w:r>
      <w:r w:rsidRPr="0092172B">
        <w:t xml:space="preserve">services, deployment models, and technologies that must coexist and operate homogeneously, the </w:t>
      </w:r>
      <w:r w:rsidR="00B82278">
        <w:t>DHS</w:t>
      </w:r>
      <w:r w:rsidRPr="0092172B">
        <w:t xml:space="preserve"> will </w:t>
      </w:r>
      <w:r w:rsidR="00B82278">
        <w:t xml:space="preserve">only </w:t>
      </w:r>
      <w:r w:rsidRPr="0092172B">
        <w:t>implement and initialize service management processes, procedures, and architecture that:</w:t>
      </w:r>
    </w:p>
    <w:p w:rsidR="00B84467" w:rsidRPr="008C0B9F" w:rsidRDefault="00B84467" w:rsidP="00B84467">
      <w:pPr>
        <w:numPr>
          <w:ilvl w:val="0"/>
          <w:numId w:val="19"/>
        </w:numPr>
        <w:spacing w:after="0"/>
      </w:pPr>
      <w:r w:rsidRPr="008C0B9F">
        <w:t>Provide</w:t>
      </w:r>
      <w:r>
        <w:t>s</w:t>
      </w:r>
      <w:r w:rsidRPr="008C0B9F">
        <w:t xml:space="preserve"> policies and process assets (e.g. guides, process descriptions, templates, standards, samples), based on </w:t>
      </w:r>
      <w:r>
        <w:t>industry</w:t>
      </w:r>
      <w:r w:rsidRPr="008C0B9F">
        <w:t xml:space="preserve"> practice</w:t>
      </w:r>
      <w:r>
        <w:t>s</w:t>
      </w:r>
      <w:r w:rsidRPr="008C0B9F">
        <w:t>, to establish a defined and repeatable approach;</w:t>
      </w:r>
    </w:p>
    <w:p w:rsidR="00B84467" w:rsidRPr="008C0B9F" w:rsidRDefault="00B84467" w:rsidP="00B84467">
      <w:pPr>
        <w:numPr>
          <w:ilvl w:val="0"/>
          <w:numId w:val="19"/>
        </w:numPr>
        <w:autoSpaceDE w:val="0"/>
        <w:autoSpaceDN w:val="0"/>
        <w:adjustRightInd w:val="0"/>
        <w:spacing w:after="0"/>
      </w:pPr>
      <w:r w:rsidRPr="008C0B9F">
        <w:t>Identif</w:t>
      </w:r>
      <w:r>
        <w:t>ies</w:t>
      </w:r>
      <w:r w:rsidRPr="008C0B9F">
        <w:t xml:space="preserve"> all of the processes, methods, functions, roles and activities that are used to enable the delivery of services to customers;</w:t>
      </w:r>
    </w:p>
    <w:p w:rsidR="00B84467" w:rsidRPr="008C0B9F" w:rsidRDefault="00B84467" w:rsidP="00B84467">
      <w:pPr>
        <w:pStyle w:val="ListParagraph"/>
        <w:numPr>
          <w:ilvl w:val="0"/>
          <w:numId w:val="19"/>
        </w:numPr>
        <w:autoSpaceDE w:val="0"/>
        <w:autoSpaceDN w:val="0"/>
        <w:adjustRightInd w:val="0"/>
        <w:spacing w:after="0"/>
      </w:pPr>
      <w:r w:rsidRPr="008C0B9F">
        <w:t>Enabl</w:t>
      </w:r>
      <w:r>
        <w:t>es</w:t>
      </w:r>
      <w:r w:rsidRPr="008C0B9F">
        <w:t xml:space="preserve"> a greater understanding of services, their value to their customers; ensure services facilitate desired outcomes, </w:t>
      </w:r>
      <w:r>
        <w:t xml:space="preserve">within the agreed to </w:t>
      </w:r>
      <w:r w:rsidRPr="008C0B9F">
        <w:t xml:space="preserve">costs, and </w:t>
      </w:r>
      <w:r>
        <w:t xml:space="preserve">minimize </w:t>
      </w:r>
      <w:r w:rsidRPr="008C0B9F">
        <w:t>risks</w:t>
      </w:r>
      <w:r>
        <w:t>;</w:t>
      </w:r>
    </w:p>
    <w:p w:rsidR="00B84467" w:rsidRDefault="00B84467" w:rsidP="00B84467">
      <w:pPr>
        <w:numPr>
          <w:ilvl w:val="0"/>
          <w:numId w:val="19"/>
        </w:numPr>
        <w:autoSpaceDE w:val="0"/>
        <w:autoSpaceDN w:val="0"/>
        <w:adjustRightInd w:val="0"/>
        <w:spacing w:after="0"/>
      </w:pPr>
      <w:r w:rsidRPr="008C0B9F">
        <w:t>Provide</w:t>
      </w:r>
      <w:r>
        <w:t>s</w:t>
      </w:r>
      <w:r w:rsidRPr="008C0B9F">
        <w:t xml:space="preserve"> strategic </w:t>
      </w:r>
      <w:r>
        <w:t xml:space="preserve">direction and </w:t>
      </w:r>
      <w:r w:rsidRPr="008C0B9F">
        <w:t>assessments of Enterprise Service</w:t>
      </w:r>
      <w:r>
        <w:t>s</w:t>
      </w:r>
      <w:r w:rsidRPr="008C0B9F">
        <w:t xml:space="preserve"> that support the core business, improve functionality, support acquisitions efforts, and ensure services deliver value to customers</w:t>
      </w:r>
      <w:r>
        <w:t>.</w:t>
      </w:r>
    </w:p>
    <w:p w:rsidR="00B84467" w:rsidRDefault="00B84467" w:rsidP="00B84467">
      <w:pPr>
        <w:numPr>
          <w:ilvl w:val="0"/>
          <w:numId w:val="19"/>
        </w:numPr>
        <w:autoSpaceDE w:val="0"/>
        <w:autoSpaceDN w:val="0"/>
        <w:adjustRightInd w:val="0"/>
        <w:spacing w:after="0"/>
      </w:pPr>
      <w:r>
        <w:lastRenderedPageBreak/>
        <w:t>Communicates and report on the value of services on IT Operations internally and externally to the Department; and,</w:t>
      </w:r>
    </w:p>
    <w:p w:rsidR="00B84467" w:rsidRDefault="00B84467" w:rsidP="00B84467">
      <w:pPr>
        <w:pStyle w:val="ListParagraph"/>
        <w:numPr>
          <w:ilvl w:val="0"/>
          <w:numId w:val="19"/>
        </w:numPr>
      </w:pPr>
      <w:r w:rsidRPr="008C0B9F">
        <w:t>Provide</w:t>
      </w:r>
      <w:r>
        <w:t>s</w:t>
      </w:r>
      <w:r w:rsidRPr="008C0B9F">
        <w:t xml:space="preserve"> </w:t>
      </w:r>
      <w:r>
        <w:t>subject matter expert (</w:t>
      </w:r>
      <w:r w:rsidRPr="008C0B9F">
        <w:t>SME</w:t>
      </w:r>
      <w:r>
        <w:t>)</w:t>
      </w:r>
      <w:r w:rsidRPr="008C0B9F">
        <w:t xml:space="preserve"> support to DHS </w:t>
      </w:r>
      <w:r>
        <w:t>s</w:t>
      </w:r>
      <w:r w:rsidRPr="008C0B9F">
        <w:t xml:space="preserve">ervice </w:t>
      </w:r>
      <w:r>
        <w:t>p</w:t>
      </w:r>
      <w:r w:rsidRPr="008C0B9F">
        <w:t>rovider that lack required expertise in service delivery; provide good repeatable practices to create effective service</w:t>
      </w:r>
      <w:r>
        <w:t>.</w:t>
      </w:r>
    </w:p>
    <w:p w:rsidR="006C05C9" w:rsidRPr="00B82278" w:rsidRDefault="006C05C9" w:rsidP="00B82278">
      <w:pPr>
        <w:spacing w:after="0"/>
        <w:rPr>
          <w:color w:val="231F20"/>
          <w:spacing w:val="-1"/>
        </w:rPr>
      </w:pPr>
      <w:r w:rsidRPr="00F97FB5">
        <w:rPr>
          <w:color w:val="231F20"/>
          <w:spacing w:val="-1"/>
        </w:rPr>
        <w:t>Th</w:t>
      </w:r>
      <w:r w:rsidR="00B82278">
        <w:rPr>
          <w:color w:val="231F20"/>
          <w:spacing w:val="-1"/>
        </w:rPr>
        <w:t>ese</w:t>
      </w:r>
      <w:r w:rsidRPr="00F97FB5">
        <w:rPr>
          <w:color w:val="231F20"/>
          <w:spacing w:val="-1"/>
        </w:rPr>
        <w:t xml:space="preserve"> effort</w:t>
      </w:r>
      <w:r w:rsidR="00B82278">
        <w:rPr>
          <w:color w:val="231F20"/>
          <w:spacing w:val="-1"/>
        </w:rPr>
        <w:t>s</w:t>
      </w:r>
      <w:r w:rsidRPr="00F97FB5">
        <w:rPr>
          <w:color w:val="231F20"/>
          <w:spacing w:val="-1"/>
        </w:rPr>
        <w:t xml:space="preserve"> will strengthen </w:t>
      </w:r>
      <w:r w:rsidR="00B82278">
        <w:t>DHS’</w:t>
      </w:r>
      <w:r w:rsidR="00794612">
        <w:t xml:space="preserve"> </w:t>
      </w:r>
      <w:r w:rsidRPr="00F97FB5">
        <w:t xml:space="preserve">ability to </w:t>
      </w:r>
      <w:r w:rsidR="00BE605C">
        <w:t xml:space="preserve">acquire multi-vendor and commercial enterprise </w:t>
      </w:r>
      <w:r>
        <w:t>computing</w:t>
      </w:r>
      <w:r w:rsidRPr="00F97FB5">
        <w:t xml:space="preserve"> services that are secure, governed, and offer efficiency gains that are currently lacking in today’s IT environment.  </w:t>
      </w:r>
      <w:r w:rsidRPr="00F97FB5">
        <w:rPr>
          <w:color w:val="231F20"/>
          <w:spacing w:val="-1"/>
        </w:rPr>
        <w:t xml:space="preserve">In order for the Department to gain maximum efficiency gains </w:t>
      </w:r>
      <w:r w:rsidR="00C616DA">
        <w:rPr>
          <w:color w:val="231F20"/>
          <w:spacing w:val="-1"/>
        </w:rPr>
        <w:t>ECS</w:t>
      </w:r>
      <w:r w:rsidRPr="00F97FB5">
        <w:rPr>
          <w:color w:val="231F20"/>
          <w:spacing w:val="-1"/>
        </w:rPr>
        <w:t>, DHS will leverage and develop define roadmaps to guide its</w:t>
      </w:r>
      <w:r w:rsidR="00C616DA">
        <w:rPr>
          <w:color w:val="231F20"/>
          <w:spacing w:val="-1"/>
        </w:rPr>
        <w:t xml:space="preserve"> path towards the optimization targets established by OMB</w:t>
      </w:r>
      <w:r>
        <w:rPr>
          <w:color w:val="231F20"/>
          <w:spacing w:val="-1"/>
        </w:rPr>
        <w:t>.</w:t>
      </w:r>
      <w:r w:rsidR="00C616DA">
        <w:rPr>
          <w:rStyle w:val="FootnoteReference"/>
          <w:color w:val="231F20"/>
          <w:spacing w:val="-1"/>
        </w:rPr>
        <w:footnoteReference w:id="21"/>
      </w:r>
      <w:r>
        <w:rPr>
          <w:color w:val="231F20"/>
          <w:spacing w:val="-1"/>
        </w:rPr>
        <w:t xml:space="preserve">  The Departmental approach will be based on developing a 3 year forecast that outlines the procurement of</w:t>
      </w:r>
      <w:r w:rsidR="00C616DA">
        <w:rPr>
          <w:color w:val="231F20"/>
          <w:spacing w:val="-1"/>
        </w:rPr>
        <w:t xml:space="preserve"> DHS ECS</w:t>
      </w:r>
      <w:r>
        <w:rPr>
          <w:color w:val="231F20"/>
          <w:spacing w:val="-1"/>
        </w:rPr>
        <w:t xml:space="preserve"> aligned to the annual planning cycle.  DHS will utilize an approach for constructing its roadmap for </w:t>
      </w:r>
      <w:r w:rsidR="00C616DA">
        <w:rPr>
          <w:color w:val="231F20"/>
          <w:spacing w:val="-1"/>
        </w:rPr>
        <w:t xml:space="preserve">DHS ESC optimization targets </w:t>
      </w:r>
      <w:r>
        <w:rPr>
          <w:color w:val="231F20"/>
          <w:spacing w:val="-1"/>
        </w:rPr>
        <w:t xml:space="preserve">that is based on developing an </w:t>
      </w:r>
      <w:r w:rsidRPr="00860FA7">
        <w:rPr>
          <w:color w:val="231F20"/>
          <w:spacing w:val="-1"/>
        </w:rPr>
        <w:t>inventory of the enterprise</w:t>
      </w:r>
      <w:r>
        <w:rPr>
          <w:color w:val="231F20"/>
          <w:spacing w:val="-1"/>
        </w:rPr>
        <w:t>-</w:t>
      </w:r>
      <w:r w:rsidRPr="00860FA7">
        <w:rPr>
          <w:color w:val="231F20"/>
          <w:spacing w:val="-1"/>
        </w:rPr>
        <w:t xml:space="preserve">wide </w:t>
      </w:r>
      <w:r>
        <w:rPr>
          <w:color w:val="231F20"/>
          <w:spacing w:val="-1"/>
        </w:rPr>
        <w:t xml:space="preserve">IT </w:t>
      </w:r>
      <w:r w:rsidRPr="00860FA7">
        <w:rPr>
          <w:color w:val="231F20"/>
          <w:spacing w:val="-1"/>
        </w:rPr>
        <w:t xml:space="preserve">systems owned, operated, or maintained by or on behalf of the </w:t>
      </w:r>
      <w:r>
        <w:rPr>
          <w:color w:val="231F20"/>
          <w:spacing w:val="-1"/>
        </w:rPr>
        <w:t xml:space="preserve">DHS.  The Department will leverage its road mapping activities to </w:t>
      </w:r>
      <w:r w:rsidRPr="00860FA7">
        <w:rPr>
          <w:color w:val="231F20"/>
          <w:spacing w:val="-1"/>
        </w:rPr>
        <w:t xml:space="preserve">assess whether </w:t>
      </w:r>
      <w:r w:rsidR="00794612" w:rsidRPr="00860FA7">
        <w:rPr>
          <w:color w:val="231F20"/>
          <w:spacing w:val="-1"/>
        </w:rPr>
        <w:t xml:space="preserve">the </w:t>
      </w:r>
      <w:r w:rsidR="00794612">
        <w:rPr>
          <w:color w:val="231F20"/>
          <w:spacing w:val="-1"/>
        </w:rPr>
        <w:t>system</w:t>
      </w:r>
      <w:r w:rsidRPr="00860FA7">
        <w:rPr>
          <w:color w:val="231F20"/>
          <w:spacing w:val="-1"/>
        </w:rPr>
        <w:t xml:space="preserve"> is</w:t>
      </w:r>
      <w:r>
        <w:rPr>
          <w:color w:val="231F20"/>
          <w:spacing w:val="-1"/>
        </w:rPr>
        <w:t xml:space="preserve"> </w:t>
      </w:r>
      <w:r w:rsidRPr="00860FA7">
        <w:rPr>
          <w:color w:val="231F20"/>
          <w:spacing w:val="-1"/>
        </w:rPr>
        <w:t xml:space="preserve">suitable for transition to </w:t>
      </w:r>
      <w:r w:rsidR="00C616DA">
        <w:rPr>
          <w:color w:val="231F20"/>
          <w:spacing w:val="-1"/>
        </w:rPr>
        <w:t>DHS ECS optimization targets</w:t>
      </w:r>
      <w:r w:rsidRPr="00860FA7">
        <w:rPr>
          <w:color w:val="231F20"/>
          <w:spacing w:val="-1"/>
        </w:rPr>
        <w:t>,</w:t>
      </w:r>
      <w:r>
        <w:rPr>
          <w:color w:val="231F20"/>
          <w:spacing w:val="-1"/>
        </w:rPr>
        <w:t xml:space="preserve"> </w:t>
      </w:r>
      <w:r w:rsidRPr="00860FA7">
        <w:rPr>
          <w:color w:val="231F20"/>
          <w:spacing w:val="-1"/>
        </w:rPr>
        <w:t>a timeline for migration</w:t>
      </w:r>
      <w:r>
        <w:rPr>
          <w:color w:val="231F20"/>
          <w:spacing w:val="-1"/>
        </w:rPr>
        <w:t xml:space="preserve"> to the target computing environment, and specific </w:t>
      </w:r>
      <w:r w:rsidRPr="00860FA7">
        <w:rPr>
          <w:color w:val="231F20"/>
          <w:spacing w:val="-1"/>
        </w:rPr>
        <w:t xml:space="preserve">benchmarks </w:t>
      </w:r>
      <w:r>
        <w:rPr>
          <w:color w:val="231F20"/>
          <w:spacing w:val="-1"/>
        </w:rPr>
        <w:t xml:space="preserve">that </w:t>
      </w:r>
      <w:r w:rsidRPr="00860FA7">
        <w:rPr>
          <w:color w:val="231F20"/>
          <w:spacing w:val="-1"/>
        </w:rPr>
        <w:t xml:space="preserve">can </w:t>
      </w:r>
      <w:r w:rsidR="00275369">
        <w:rPr>
          <w:color w:val="231F20"/>
          <w:spacing w:val="-1"/>
        </w:rPr>
        <w:t xml:space="preserve">be </w:t>
      </w:r>
      <w:r w:rsidRPr="00860FA7">
        <w:rPr>
          <w:color w:val="231F20"/>
          <w:spacing w:val="-1"/>
        </w:rPr>
        <w:t>achieve</w:t>
      </w:r>
      <w:r>
        <w:rPr>
          <w:color w:val="231F20"/>
          <w:spacing w:val="-1"/>
        </w:rPr>
        <w:t>d</w:t>
      </w:r>
      <w:r w:rsidRPr="00860FA7">
        <w:rPr>
          <w:color w:val="231F20"/>
          <w:spacing w:val="-1"/>
        </w:rPr>
        <w:t xml:space="preserve"> by specific</w:t>
      </w:r>
      <w:r>
        <w:rPr>
          <w:color w:val="231F20"/>
          <w:spacing w:val="-1"/>
        </w:rPr>
        <w:t xml:space="preserve"> </w:t>
      </w:r>
      <w:r w:rsidRPr="00860FA7">
        <w:rPr>
          <w:color w:val="231F20"/>
          <w:spacing w:val="-1"/>
        </w:rPr>
        <w:t>dates; and</w:t>
      </w:r>
      <w:r>
        <w:rPr>
          <w:color w:val="231F20"/>
          <w:spacing w:val="-1"/>
        </w:rPr>
        <w:t xml:space="preserve"> year</w:t>
      </w:r>
      <w:r w:rsidRPr="00860FA7">
        <w:rPr>
          <w:color w:val="231F20"/>
          <w:spacing w:val="-1"/>
        </w:rPr>
        <w:t>-by-year calculations of investment and</w:t>
      </w:r>
      <w:r>
        <w:rPr>
          <w:color w:val="231F20"/>
          <w:spacing w:val="-1"/>
        </w:rPr>
        <w:t xml:space="preserve"> </w:t>
      </w:r>
      <w:r w:rsidRPr="00860FA7">
        <w:rPr>
          <w:color w:val="231F20"/>
          <w:spacing w:val="-1"/>
        </w:rPr>
        <w:t>cost savings</w:t>
      </w:r>
      <w:r>
        <w:rPr>
          <w:color w:val="231F20"/>
          <w:spacing w:val="-1"/>
        </w:rPr>
        <w:t xml:space="preserve">. </w:t>
      </w:r>
    </w:p>
    <w:p w:rsidR="00794612" w:rsidRDefault="00794612" w:rsidP="001D1BDC"/>
    <w:p w:rsidR="0057325C" w:rsidRDefault="008F6709" w:rsidP="0057325C">
      <w:pPr>
        <w:pStyle w:val="Heading2"/>
      </w:pPr>
      <w:bookmarkStart w:id="13" w:name="_Toc475636834"/>
      <w:r>
        <w:t xml:space="preserve">Service </w:t>
      </w:r>
      <w:r w:rsidR="005F7FE2">
        <w:t>Governance and Management</w:t>
      </w:r>
      <w:bookmarkEnd w:id="13"/>
    </w:p>
    <w:p w:rsidR="0039004E" w:rsidRDefault="00176077" w:rsidP="0039004E">
      <w:r>
        <w:t>DHS ECS</w:t>
      </w:r>
      <w:r w:rsidR="006F2E7F">
        <w:t xml:space="preserve"> governance strategy will focus on instituting Service Management business practices that are core to services governance.  </w:t>
      </w:r>
      <w:r w:rsidR="006F2E7F" w:rsidRPr="005B71BE">
        <w:t xml:space="preserve">Enhanced governance processes and policy enforcement mechanisms will be instituted </w:t>
      </w:r>
      <w:r w:rsidR="006F2E7F">
        <w:t xml:space="preserve">by the DHS CIO </w:t>
      </w:r>
      <w:r w:rsidR="00275369">
        <w:t>and implemented by the Data Center Division (DCD) of the Information Technology Services Office (ITSO)</w:t>
      </w:r>
      <w:r w:rsidR="006F2E7F">
        <w:t xml:space="preserve"> </w:t>
      </w:r>
      <w:r w:rsidR="006F2E7F" w:rsidRPr="005B71BE">
        <w:t xml:space="preserve">to manage the rapid evolution </w:t>
      </w:r>
      <w:r w:rsidR="00BD1516" w:rsidRPr="005B71BE">
        <w:t xml:space="preserve">of </w:t>
      </w:r>
      <w:r w:rsidR="00BD1516">
        <w:t>ECS</w:t>
      </w:r>
      <w:r w:rsidR="006F2E7F" w:rsidRPr="005B71BE">
        <w:t xml:space="preserve"> within the Department, maximizing the potential value of </w:t>
      </w:r>
      <w:r w:rsidR="006F2E7F">
        <w:t>IT service delivery</w:t>
      </w:r>
      <w:r w:rsidR="006F2E7F" w:rsidRPr="005B71BE">
        <w:t xml:space="preserve"> and minimizing the risks. </w:t>
      </w:r>
      <w:r w:rsidR="006F2E7F">
        <w:t>This s</w:t>
      </w:r>
      <w:r w:rsidR="006F2E7F" w:rsidRPr="005B71BE">
        <w:t xml:space="preserve">trong governance mechanism </w:t>
      </w:r>
      <w:r w:rsidR="006F2E7F">
        <w:t xml:space="preserve">will </w:t>
      </w:r>
      <w:r w:rsidR="006F2E7F" w:rsidRPr="005B71BE">
        <w:t>support consistent interpretation of policy, monitor D</w:t>
      </w:r>
      <w:r w:rsidR="006F2E7F">
        <w:t>HS</w:t>
      </w:r>
      <w:r w:rsidR="006F2E7F" w:rsidRPr="005B71BE">
        <w:t xml:space="preserve"> enterprise </w:t>
      </w:r>
      <w:r w:rsidR="00275369">
        <w:t>computing</w:t>
      </w:r>
      <w:r w:rsidR="006F2E7F" w:rsidRPr="005B71BE">
        <w:t xml:space="preserve"> performance, and </w:t>
      </w:r>
      <w:r w:rsidR="00BD1516" w:rsidRPr="005B71BE">
        <w:t>address consumer</w:t>
      </w:r>
      <w:r w:rsidR="006F2E7F" w:rsidRPr="005B71BE">
        <w:t xml:space="preserve"> and provider issues.</w:t>
      </w:r>
      <w:r w:rsidR="0039004E">
        <w:t xml:space="preserve">  Service governance will ensure alignment of DHS investments, policies, proc</w:t>
      </w:r>
      <w:r w:rsidR="00D9327B">
        <w:t>esses and standards to enable achievement of DHS ECS optimization targets</w:t>
      </w:r>
      <w:r w:rsidR="0039004E">
        <w:t xml:space="preserve">.  The Department will exercise all governance </w:t>
      </w:r>
      <w:r w:rsidR="0039004E">
        <w:lastRenderedPageBreak/>
        <w:t xml:space="preserve">mechanisms to ensure </w:t>
      </w:r>
      <w:r w:rsidR="00275369">
        <w:t>ECS</w:t>
      </w:r>
      <w:r w:rsidR="0039004E">
        <w:t xml:space="preserve"> options are analyzed during the budget and acquisition processes for each Program and/or investment.</w:t>
      </w:r>
    </w:p>
    <w:p w:rsidR="00FC3677" w:rsidRDefault="006F2E7F" w:rsidP="00FC3677">
      <w:r w:rsidRPr="00FC3677">
        <w:t xml:space="preserve">To support the service governance process, </w:t>
      </w:r>
      <w:r w:rsidR="00FC3677">
        <w:t xml:space="preserve">DHS </w:t>
      </w:r>
      <w:r w:rsidRPr="00FC3677">
        <w:t>has e</w:t>
      </w:r>
      <w:r>
        <w:t>stablish</w:t>
      </w:r>
      <w:r w:rsidR="00147D17">
        <w:t>ed</w:t>
      </w:r>
      <w:r>
        <w:t xml:space="preserve"> and manage</w:t>
      </w:r>
      <w:r w:rsidR="00FC3677">
        <w:t>s</w:t>
      </w:r>
      <w:r w:rsidR="00147D17">
        <w:t xml:space="preserve"> an enterprise computing</w:t>
      </w:r>
      <w:r>
        <w:t xml:space="preserve"> service lifecycle that defines the applicable activities necessary to identify, select, d</w:t>
      </w:r>
      <w:r w:rsidR="00147D17">
        <w:t>esign, deploy, and deliver ECS</w:t>
      </w:r>
      <w:r>
        <w:t xml:space="preserve"> services within the DHS envir</w:t>
      </w:r>
      <w:r w:rsidR="00147D17">
        <w:t>onment.  The enterprise computing</w:t>
      </w:r>
      <w:r>
        <w:t xml:space="preserve"> services lifecycle is embedded into the DHS Systems Engineering Lifecycle (SELC) to guide and align IT service related decisions.  The </w:t>
      </w:r>
      <w:r w:rsidR="00147D17">
        <w:t>enterprise computing</w:t>
      </w:r>
      <w:r>
        <w:t xml:space="preserve"> service lifecycle serves as means to determine </w:t>
      </w:r>
      <w:r w:rsidRPr="005B71BE">
        <w:t>best value between alternatives, defin</w:t>
      </w:r>
      <w:r>
        <w:t xml:space="preserve">ing a service </w:t>
      </w:r>
      <w:r w:rsidRPr="005B71BE">
        <w:t xml:space="preserve">investment management process that enables the rapid evolution of </w:t>
      </w:r>
      <w:r w:rsidR="00D9327B">
        <w:t>DHS ECS optimization goals</w:t>
      </w:r>
      <w:r w:rsidRPr="005B71BE">
        <w:t xml:space="preserve"> and prevent</w:t>
      </w:r>
      <w:r>
        <w:t>s</w:t>
      </w:r>
      <w:r w:rsidRPr="005B71BE">
        <w:t xml:space="preserve"> non-standards-based IT service silos from proliferating within the </w:t>
      </w:r>
      <w:r>
        <w:t>enterprise.</w:t>
      </w:r>
    </w:p>
    <w:p w:rsidR="00F04C68" w:rsidRDefault="00F04C68" w:rsidP="00FC3677">
      <w:r>
        <w:t xml:space="preserve">DHS governance and service level management will address the ten unique areas of focus that were jointly identified by the Federal CIO and the Federal Chief Acquisition Officers Councils as requiring the most attention when bringing together the relevant agency stakeholders to more effectively procure, govern and manage IT as a service. </w:t>
      </w:r>
      <w:r>
        <w:rPr>
          <w:rStyle w:val="FootnoteReference"/>
        </w:rPr>
        <w:footnoteReference w:id="22"/>
      </w:r>
    </w:p>
    <w:p w:rsidR="00FC3677" w:rsidRDefault="00147D17" w:rsidP="00FC3677">
      <w:proofErr w:type="gramStart"/>
      <w:r>
        <w:rPr>
          <w:b/>
          <w:bCs/>
        </w:rPr>
        <w:t xml:space="preserve">Selecting a </w:t>
      </w:r>
      <w:r w:rsidR="00D9327B">
        <w:rPr>
          <w:b/>
          <w:bCs/>
        </w:rPr>
        <w:t xml:space="preserve">DHS Enterprise </w:t>
      </w:r>
      <w:r>
        <w:rPr>
          <w:b/>
          <w:bCs/>
        </w:rPr>
        <w:t>Computing</w:t>
      </w:r>
      <w:r w:rsidR="00C11D2F" w:rsidRPr="00FC3677">
        <w:rPr>
          <w:b/>
          <w:bCs/>
        </w:rPr>
        <w:t xml:space="preserve"> Service: </w:t>
      </w:r>
      <w:r w:rsidR="00C11D2F">
        <w:t>C</w:t>
      </w:r>
      <w:r>
        <w:t>hoosing the computing service model</w:t>
      </w:r>
      <w:r w:rsidR="00C11D2F" w:rsidRPr="00631CFB">
        <w:t xml:space="preserve"> is the first step in this analysis</w:t>
      </w:r>
      <w:r w:rsidR="00FC3677">
        <w:t xml:space="preserve"> as </w:t>
      </w:r>
      <w:r>
        <w:t xml:space="preserve">well as the first step in </w:t>
      </w:r>
      <w:r w:rsidR="00FC3677">
        <w:t>governance</w:t>
      </w:r>
      <w:r w:rsidR="00C11D2F" w:rsidRPr="00631CFB">
        <w:t>.</w:t>
      </w:r>
      <w:proofErr w:type="gramEnd"/>
      <w:r w:rsidR="00C11D2F" w:rsidRPr="00631CFB">
        <w:t xml:space="preserve"> </w:t>
      </w:r>
      <w:r>
        <w:t>Th</w:t>
      </w:r>
      <w:r w:rsidRPr="00631CFB">
        <w:t xml:space="preserve">e Administration’s “Cloud First” and “Shared First” policies dictate that an agency must default to using a cloud computing solution if a safe and secure one exists. </w:t>
      </w:r>
      <w:r>
        <w:t xml:space="preserve"> </w:t>
      </w:r>
      <w:r w:rsidR="00C11D2F">
        <w:t>“</w:t>
      </w:r>
      <w:r w:rsidR="00C11D2F" w:rsidRPr="00614617">
        <w:t>Each service model offers unique functionality depending on the class of user, with control of the environment decreasing as you move from Infrastructure to Platform to Software. Infrastructure is most suitable for users like network administrators as agencies can place unique platforms and software on the infrastructure being consumed. Platform is most suitable for users like server or system administrators in development and deployment activities. Software is most appropriate for end users since all functionalities are usually offered out of the box. Understanding the degree of functionality and what users in an agency will consu</w:t>
      </w:r>
      <w:r w:rsidR="00C11D2F">
        <w:t>me the services is critical [to DHS’</w:t>
      </w:r>
      <w:r w:rsidR="00D9327B">
        <w:t xml:space="preserve"> ECS</w:t>
      </w:r>
      <w:r w:rsidR="00C11D2F">
        <w:t xml:space="preserve"> strategy]</w:t>
      </w:r>
      <w:r w:rsidR="00C11D2F" w:rsidRPr="00614617">
        <w:t xml:space="preserve"> in determining the appropriate cloud service to procure.</w:t>
      </w:r>
      <w:r w:rsidR="00C11D2F">
        <w:t>”</w:t>
      </w:r>
      <w:r w:rsidR="00C11D2F" w:rsidRPr="00614617">
        <w:t xml:space="preserve"> </w:t>
      </w:r>
      <w:r w:rsidR="00C11D2F">
        <w:rPr>
          <w:rStyle w:val="FootnoteReference"/>
        </w:rPr>
        <w:footnoteReference w:id="23"/>
      </w:r>
    </w:p>
    <w:p w:rsidR="00C11D2F" w:rsidRPr="00331E6E" w:rsidRDefault="00C11D2F" w:rsidP="00FC3677">
      <w:r w:rsidRPr="00FC3677">
        <w:rPr>
          <w:b/>
          <w:bCs/>
        </w:rPr>
        <w:lastRenderedPageBreak/>
        <w:t xml:space="preserve">Selecting a </w:t>
      </w:r>
      <w:r w:rsidR="00D9327B">
        <w:rPr>
          <w:b/>
          <w:bCs/>
        </w:rPr>
        <w:t xml:space="preserve">DHS ECS-Approved </w:t>
      </w:r>
      <w:r w:rsidRPr="00FC3677">
        <w:rPr>
          <w:b/>
          <w:bCs/>
        </w:rPr>
        <w:t xml:space="preserve">Cloud </w:t>
      </w:r>
      <w:r w:rsidRPr="00331E6E">
        <w:rPr>
          <w:b/>
          <w:bCs/>
        </w:rPr>
        <w:t xml:space="preserve">Deployment Model </w:t>
      </w:r>
      <w:r w:rsidRPr="00FC3677">
        <w:rPr>
          <w:b/>
          <w:bCs/>
        </w:rPr>
        <w:t xml:space="preserve">- </w:t>
      </w:r>
      <w:r w:rsidRPr="00614617">
        <w:t xml:space="preserve">NIST </w:t>
      </w:r>
      <w:r>
        <w:t>defines</w:t>
      </w:r>
      <w:r w:rsidRPr="00614617">
        <w:t xml:space="preserve"> four deployment models for cloud services:</w:t>
      </w:r>
      <w:r>
        <w:rPr>
          <w:rStyle w:val="FootnoteReference"/>
        </w:rPr>
        <w:footnoteReference w:id="24"/>
      </w:r>
      <w:r w:rsidRPr="00614617">
        <w:t xml:space="preserve"> These service deployments </w:t>
      </w:r>
      <w:r>
        <w:t>include private, public, community</w:t>
      </w:r>
      <w:r w:rsidR="00147D17">
        <w:t>, and hybrid and are defined by NIST</w:t>
      </w:r>
      <w:r w:rsidR="00794612">
        <w:t>.</w:t>
      </w:r>
      <w:r w:rsidR="00147D17">
        <w:rPr>
          <w:rStyle w:val="FootnoteReference"/>
        </w:rPr>
        <w:footnoteReference w:id="25"/>
      </w:r>
      <w:r w:rsidR="00794612">
        <w:t xml:space="preserve"> </w:t>
      </w:r>
      <w:r w:rsidR="00794612" w:rsidRPr="00FC3677">
        <w:rPr>
          <w:szCs w:val="24"/>
        </w:rPr>
        <w:t xml:space="preserve"> “These</w:t>
      </w:r>
      <w:r w:rsidRPr="00FC3677">
        <w:rPr>
          <w:szCs w:val="24"/>
        </w:rPr>
        <w:t xml:space="preserve"> deployment models determine the number of consumers (multi-tenancy), and the nature of other consumers’ data that may be present in a cloud environment. A public cloud does not </w:t>
      </w:r>
      <w:r w:rsidRPr="00331E6E">
        <w:rPr>
          <w:szCs w:val="24"/>
        </w:rPr>
        <w:t xml:space="preserve">allow a consumer to know or control who the other consumers of a cloud service provider’s environment are. </w:t>
      </w:r>
      <w:r w:rsidR="00286872">
        <w:rPr>
          <w:szCs w:val="24"/>
        </w:rPr>
        <w:t xml:space="preserve"> </w:t>
      </w:r>
      <w:r w:rsidRPr="00331E6E">
        <w:rPr>
          <w:szCs w:val="24"/>
        </w:rPr>
        <w:t>However, a private cloud can allow for ultimate control in selecting who has access to a cloud environment. Community clouds and Hybrid clouds allow for a mixed degree of control and knowledge of other consumers. Additionally, the cost for cloud services typically increases as the control over other consumers and knowledge of these consumers increases. When consuming cloud services,</w:t>
      </w:r>
      <w:r w:rsidRPr="00FC3677">
        <w:rPr>
          <w:szCs w:val="24"/>
        </w:rPr>
        <w:t xml:space="preserve"> </w:t>
      </w:r>
      <w:r w:rsidRPr="0035533C">
        <w:t>[DHS strategy will focus on understanding</w:t>
      </w:r>
      <w:r>
        <w:t>]</w:t>
      </w:r>
      <w:r w:rsidRPr="00331E6E">
        <w:rPr>
          <w:szCs w:val="24"/>
        </w:rPr>
        <w:t xml:space="preserve"> what type of government data they will be placing in the environment, and select the deployment type that corresponds to the appropriate level of control and data sensitivity.</w:t>
      </w:r>
      <w:r w:rsidRPr="0035533C">
        <w:t xml:space="preserve">” </w:t>
      </w:r>
      <w:r>
        <w:rPr>
          <w:rStyle w:val="FootnoteReference"/>
        </w:rPr>
        <w:footnoteReference w:id="26"/>
      </w:r>
    </w:p>
    <w:p w:rsidR="00C11D2F" w:rsidRDefault="00C11D2F" w:rsidP="00C15627">
      <w:r w:rsidRPr="00C15627">
        <w:rPr>
          <w:b/>
          <w:bCs/>
        </w:rPr>
        <w:t xml:space="preserve">Service Providers and </w:t>
      </w:r>
      <w:r w:rsidR="007D0D0E">
        <w:rPr>
          <w:b/>
          <w:bCs/>
        </w:rPr>
        <w:t>Terms of Service</w:t>
      </w:r>
      <w:r w:rsidRPr="00C15627">
        <w:rPr>
          <w:b/>
          <w:bCs/>
        </w:rPr>
        <w:t xml:space="preserve"> Agreements</w:t>
      </w:r>
      <w:r w:rsidRPr="00631CFB">
        <w:t>:</w:t>
      </w:r>
      <w:r w:rsidR="00C15627">
        <w:t xml:space="preserve"> DHS</w:t>
      </w:r>
      <w:r w:rsidR="00286872">
        <w:t xml:space="preserve"> ECS</w:t>
      </w:r>
      <w:r w:rsidR="007D0D0E">
        <w:t xml:space="preserve"> </w:t>
      </w:r>
      <w:r w:rsidR="00C15627">
        <w:t xml:space="preserve">governance will </w:t>
      </w:r>
      <w:r w:rsidR="00C15627" w:rsidRPr="00C15627">
        <w:t>enforce common acceptable use standards across all users to effectively ma</w:t>
      </w:r>
      <w:r w:rsidR="00C15627">
        <w:t>int</w:t>
      </w:r>
      <w:r w:rsidR="00D9327B">
        <w:t xml:space="preserve">ain how a consumer uses a </w:t>
      </w:r>
      <w:r w:rsidR="00C15627">
        <w:t>service provider</w:t>
      </w:r>
      <w:r w:rsidR="00C15627" w:rsidRPr="00C15627">
        <w:t xml:space="preserve"> environment. </w:t>
      </w:r>
      <w:r w:rsidR="00C15627">
        <w:t>This will include the publication and oversight of policies regarding</w:t>
      </w:r>
      <w:r w:rsidR="00C15627" w:rsidRPr="00C15627">
        <w:t xml:space="preserve"> Terms of Service Agreements (TOS)</w:t>
      </w:r>
      <w:r w:rsidR="00C15627">
        <w:t xml:space="preserve"> and</w:t>
      </w:r>
      <w:r w:rsidR="00C15627" w:rsidRPr="00C15627">
        <w:t xml:space="preserve"> Non-Disclosure Agreements </w:t>
      </w:r>
      <w:r w:rsidR="00C15627">
        <w:t>(N</w:t>
      </w:r>
      <w:r w:rsidR="00286872">
        <w:t>DAs) to enforce acceptable</w:t>
      </w:r>
      <w:r w:rsidR="00C15627">
        <w:t xml:space="preserve"> Service Provider</w:t>
      </w:r>
      <w:r w:rsidR="00C15627" w:rsidRPr="00C15627">
        <w:t xml:space="preserve"> personnel behavior when dealing with Federal data. TOS and NDAs need to be fully contemplated and agreed upon b</w:t>
      </w:r>
      <w:r w:rsidR="00286872">
        <w:t>y both</w:t>
      </w:r>
      <w:r w:rsidR="00C15627">
        <w:t xml:space="preserve"> Service Providers and DHS Program Managers</w:t>
      </w:r>
      <w:r w:rsidR="00C15627" w:rsidRPr="00C15627">
        <w:t xml:space="preserve"> to ensure that all parties fully understand the breadth and scope </w:t>
      </w:r>
      <w:r w:rsidR="00D9327B">
        <w:t>of their duties when using enterprise computing</w:t>
      </w:r>
      <w:r w:rsidR="00C15627" w:rsidRPr="00C15627">
        <w:t xml:space="preserve"> services. </w:t>
      </w:r>
    </w:p>
    <w:p w:rsidR="007D0D0E" w:rsidRDefault="00C11D2F" w:rsidP="007D0D0E">
      <w:r w:rsidRPr="007D0D0E">
        <w:rPr>
          <w:b/>
          <w:bCs/>
        </w:rPr>
        <w:t>Service Level Agreements (SLAs)</w:t>
      </w:r>
      <w:r w:rsidRPr="00631CFB">
        <w:t xml:space="preserve">: </w:t>
      </w:r>
      <w:r w:rsidR="007D0D0E">
        <w:t>DHS</w:t>
      </w:r>
      <w:r w:rsidR="00286872">
        <w:t xml:space="preserve"> ECS</w:t>
      </w:r>
      <w:r w:rsidR="007D0D0E">
        <w:t xml:space="preserve"> governance will enforce use of DHS templates and guidelines for </w:t>
      </w:r>
      <w:r w:rsidR="007D0D0E" w:rsidRPr="007D0D0E">
        <w:t xml:space="preserve">Service Level Agreements (SLAs) </w:t>
      </w:r>
      <w:r w:rsidR="007D0D0E">
        <w:t>under th</w:t>
      </w:r>
      <w:r w:rsidR="00D9327B">
        <w:t xml:space="preserve">e overall </w:t>
      </w:r>
      <w:r w:rsidR="007D0D0E" w:rsidRPr="007D0D0E">
        <w:t>computing contract be</w:t>
      </w:r>
      <w:r w:rsidR="00286872">
        <w:t xml:space="preserve">tween a </w:t>
      </w:r>
      <w:r w:rsidR="007D0D0E">
        <w:t>Service Provider and a DHS Program Manager.</w:t>
      </w:r>
      <w:r w:rsidR="007D0D0E" w:rsidRPr="007D0D0E">
        <w:t xml:space="preserve"> </w:t>
      </w:r>
      <w:r w:rsidR="007D0D0E">
        <w:t xml:space="preserve">DHS governance activities will include advice and support to Program Managers in defining </w:t>
      </w:r>
      <w:r w:rsidR="007D0D0E" w:rsidRPr="007D0D0E">
        <w:t xml:space="preserve">acceptable service levels to be provided by the </w:t>
      </w:r>
      <w:r w:rsidR="007D0D0E">
        <w:t>Service Provider</w:t>
      </w:r>
      <w:r w:rsidR="007D0D0E" w:rsidRPr="007D0D0E">
        <w:t xml:space="preserve"> to its </w:t>
      </w:r>
      <w:r w:rsidR="00286872">
        <w:t xml:space="preserve">customers in measurable terms. </w:t>
      </w:r>
      <w:r w:rsidR="007D0D0E">
        <w:t>Service Provider</w:t>
      </w:r>
      <w:r w:rsidR="007D0D0E" w:rsidRPr="007D0D0E">
        <w:t xml:space="preserve"> performance </w:t>
      </w:r>
      <w:r w:rsidR="007D0D0E">
        <w:t>will</w:t>
      </w:r>
      <w:r w:rsidR="007D0D0E" w:rsidRPr="007D0D0E">
        <w:t xml:space="preserve"> clearly specified </w:t>
      </w:r>
      <w:r w:rsidR="007D0D0E" w:rsidRPr="007D0D0E">
        <w:lastRenderedPageBreak/>
        <w:t xml:space="preserve">in all SLAs and </w:t>
      </w:r>
      <w:r w:rsidR="007D0D0E">
        <w:t>all SLAs will be</w:t>
      </w:r>
      <w:r w:rsidR="007D0D0E" w:rsidRPr="007D0D0E">
        <w:t xml:space="preserve"> fully incorporated, either by full te</w:t>
      </w:r>
      <w:r w:rsidR="007D0D0E">
        <w:t xml:space="preserve">xt </w:t>
      </w:r>
      <w:r w:rsidR="00286872">
        <w:t xml:space="preserve">or by reference, into the </w:t>
      </w:r>
      <w:r w:rsidR="007D0D0E">
        <w:t>Service Provider</w:t>
      </w:r>
      <w:r w:rsidR="007D0D0E" w:rsidRPr="007D0D0E">
        <w:t xml:space="preserve"> contract</w:t>
      </w:r>
    </w:p>
    <w:p w:rsidR="007D0D0E" w:rsidRDefault="00C11D2F" w:rsidP="007D0D0E">
      <w:r w:rsidRPr="00631CFB">
        <w:rPr>
          <w:b/>
          <w:bCs/>
        </w:rPr>
        <w:t>S</w:t>
      </w:r>
      <w:r w:rsidR="007D0D0E">
        <w:rPr>
          <w:b/>
          <w:bCs/>
        </w:rPr>
        <w:t xml:space="preserve">ervice </w:t>
      </w:r>
      <w:r w:rsidRPr="00631CFB">
        <w:rPr>
          <w:b/>
          <w:bCs/>
        </w:rPr>
        <w:t>P</w:t>
      </w:r>
      <w:r w:rsidR="007D0D0E">
        <w:rPr>
          <w:b/>
          <w:bCs/>
        </w:rPr>
        <w:t>rovider</w:t>
      </w:r>
      <w:r w:rsidRPr="00631CFB">
        <w:rPr>
          <w:b/>
          <w:bCs/>
        </w:rPr>
        <w:t>, Agency, and Integrator Roles and Responsibilities</w:t>
      </w:r>
      <w:r w:rsidRPr="00631CFB">
        <w:t xml:space="preserve">: </w:t>
      </w:r>
      <w:r w:rsidR="00286872">
        <w:t>DHS ECS</w:t>
      </w:r>
      <w:r w:rsidR="007D0D0E">
        <w:t xml:space="preserve"> governance will</w:t>
      </w:r>
      <w:r w:rsidR="00EF1CDD">
        <w:t xml:space="preserve"> ensure the effective guidance for the pr</w:t>
      </w:r>
      <w:r w:rsidR="00D9327B">
        <w:t>ocurement of services for system integrators and/or</w:t>
      </w:r>
      <w:r w:rsidR="00EF1CDD">
        <w:t xml:space="preserve"> service/system resellers under subcontracts or separate contracts from the service contract.  This governance and guidance will apply in those instances in which i</w:t>
      </w:r>
      <w:r w:rsidR="007D0D0E" w:rsidRPr="007D0D0E">
        <w:t>ntegrators can provide a level of expertise withi</w:t>
      </w:r>
      <w:r w:rsidR="00286872">
        <w:t xml:space="preserve">n </w:t>
      </w:r>
      <w:r w:rsidR="00EF1CDD">
        <w:t>Service Provider environments that</w:t>
      </w:r>
      <w:r w:rsidR="007D0D0E" w:rsidRPr="007D0D0E">
        <w:t xml:space="preserve"> </w:t>
      </w:r>
      <w:r w:rsidR="00EF1CDD">
        <w:t>Programs</w:t>
      </w:r>
      <w:r w:rsidR="007D0D0E" w:rsidRPr="007D0D0E">
        <w:t xml:space="preserve"> may not have, thus </w:t>
      </w:r>
      <w:r w:rsidR="00D9327B">
        <w:t>making transition to the DHS ECS framework</w:t>
      </w:r>
      <w:r w:rsidR="007D0D0E" w:rsidRPr="007D0D0E">
        <w:t xml:space="preserve"> easier. </w:t>
      </w:r>
      <w:r w:rsidR="00EF1CDD">
        <w:t>DHS governance oversight will focus on</w:t>
      </w:r>
      <w:r w:rsidR="00F06580">
        <w:t xml:space="preserve"> clearly defining scenarios, roles and responsibilities to enhance the end-user’s ability to fully r</w:t>
      </w:r>
      <w:r w:rsidR="00D9327B">
        <w:t xml:space="preserve">ealize the benefits of the enterprise computing </w:t>
      </w:r>
      <w:r w:rsidR="00F06580">
        <w:t>system or service.</w:t>
      </w:r>
    </w:p>
    <w:p w:rsidR="00C11D2F" w:rsidRDefault="00C11D2F" w:rsidP="00331E6E">
      <w:pPr>
        <w:pStyle w:val="Default"/>
      </w:pPr>
      <w:r w:rsidRPr="00794612">
        <w:rPr>
          <w:rFonts w:ascii="Times New Roman" w:hAnsi="Times New Roman" w:cs="Times New Roman"/>
          <w:b/>
          <w:bCs/>
        </w:rPr>
        <w:t>Standards:</w:t>
      </w:r>
      <w:r w:rsidR="00C64342" w:rsidRPr="00794612">
        <w:rPr>
          <w:rFonts w:ascii="Times New Roman" w:hAnsi="Times New Roman" w:cs="Times New Roman"/>
          <w:b/>
          <w:bCs/>
        </w:rPr>
        <w:t xml:space="preserve"> </w:t>
      </w:r>
      <w:r w:rsidR="00C64342" w:rsidRPr="00794612">
        <w:rPr>
          <w:rFonts w:ascii="Times New Roman" w:hAnsi="Times New Roman" w:cs="Times New Roman"/>
        </w:rPr>
        <w:t>W</w:t>
      </w:r>
      <w:r w:rsidR="00C64342" w:rsidRPr="00331E6E">
        <w:rPr>
          <w:rFonts w:ascii="Times New Roman" w:hAnsi="Times New Roman" w:cs="Times New Roman"/>
        </w:rPr>
        <w:t>hen Federa</w:t>
      </w:r>
      <w:r w:rsidR="00D9327B">
        <w:rPr>
          <w:rFonts w:ascii="Times New Roman" w:hAnsi="Times New Roman" w:cs="Times New Roman"/>
        </w:rPr>
        <w:t>l agencies procure enterprise computing</w:t>
      </w:r>
      <w:r w:rsidR="00C64342" w:rsidRPr="00331E6E">
        <w:rPr>
          <w:rFonts w:ascii="Times New Roman" w:hAnsi="Times New Roman" w:cs="Times New Roman"/>
        </w:rPr>
        <w:t xml:space="preserve"> solutions, U.S. laws and associated policy require the use of international, voluntary consensus standards except where inconsistent with law or otherwise impractical.</w:t>
      </w:r>
      <w:r w:rsidR="00C64342" w:rsidRPr="00331E6E">
        <w:rPr>
          <w:rStyle w:val="FootnoteReference"/>
          <w:rFonts w:ascii="Times New Roman" w:hAnsi="Times New Roman"/>
        </w:rPr>
        <w:footnoteReference w:id="27"/>
      </w:r>
      <w:r w:rsidR="00C64342" w:rsidRPr="00331E6E">
        <w:rPr>
          <w:rFonts w:ascii="Times New Roman" w:hAnsi="Times New Roman" w:cs="Times New Roman"/>
        </w:rPr>
        <w:t xml:space="preserve"> DHS </w:t>
      </w:r>
      <w:r w:rsidR="00286872">
        <w:rPr>
          <w:rFonts w:ascii="Times New Roman" w:hAnsi="Times New Roman" w:cs="Times New Roman"/>
        </w:rPr>
        <w:t>ECS</w:t>
      </w:r>
      <w:r w:rsidR="00C64342">
        <w:rPr>
          <w:rFonts w:ascii="Times New Roman" w:hAnsi="Times New Roman" w:cs="Times New Roman"/>
        </w:rPr>
        <w:t xml:space="preserve"> governance will focus on leveraging the guidance of </w:t>
      </w:r>
      <w:r w:rsidR="00C64342" w:rsidRPr="0066117A">
        <w:rPr>
          <w:rFonts w:ascii="Times New Roman" w:hAnsi="Times New Roman" w:cs="Times New Roman"/>
        </w:rPr>
        <w:t>Standards Developing Organizations (SDOs)</w:t>
      </w:r>
      <w:r w:rsidR="00C64342">
        <w:rPr>
          <w:rFonts w:ascii="Times New Roman" w:hAnsi="Times New Roman" w:cs="Times New Roman"/>
        </w:rPr>
        <w:t xml:space="preserve"> such as the National Institutes of Standards and Technology (NIST) in all DHS application of </w:t>
      </w:r>
      <w:r w:rsidR="00C64342" w:rsidRPr="00331E6E">
        <w:rPr>
          <w:rFonts w:ascii="Times New Roman" w:hAnsi="Times New Roman" w:cs="Times New Roman"/>
        </w:rPr>
        <w:t xml:space="preserve">conceptual models, reference architectures, and standards to facilitate communication, data exchange, and security </w:t>
      </w:r>
      <w:r w:rsidR="00286872">
        <w:rPr>
          <w:rFonts w:ascii="Times New Roman" w:hAnsi="Times New Roman" w:cs="Times New Roman"/>
        </w:rPr>
        <w:t>for enterprise</w:t>
      </w:r>
      <w:r w:rsidR="005374AE" w:rsidRPr="005374AE">
        <w:rPr>
          <w:rFonts w:ascii="Times New Roman" w:hAnsi="Times New Roman" w:cs="Times New Roman"/>
        </w:rPr>
        <w:t xml:space="preserve"> computing </w:t>
      </w:r>
      <w:r w:rsidR="005374AE">
        <w:rPr>
          <w:rFonts w:ascii="Times New Roman" w:hAnsi="Times New Roman" w:cs="Times New Roman"/>
        </w:rPr>
        <w:t xml:space="preserve">functions, requirements, and roadmaps.  DHS will particularly promote publications that address </w:t>
      </w:r>
      <w:r w:rsidR="005374AE" w:rsidRPr="005374AE">
        <w:rPr>
          <w:rFonts w:ascii="Times New Roman" w:hAnsi="Times New Roman" w:cs="Times New Roman"/>
        </w:rPr>
        <w:t>security, interoperability, and portability.</w:t>
      </w:r>
      <w:r w:rsidR="005374AE">
        <w:rPr>
          <w:rStyle w:val="FootnoteReference"/>
          <w:rFonts w:ascii="Times New Roman" w:hAnsi="Times New Roman"/>
        </w:rPr>
        <w:footnoteReference w:id="28"/>
      </w:r>
      <w:r w:rsidR="005374AE" w:rsidRPr="005374AE">
        <w:rPr>
          <w:rFonts w:ascii="Times New Roman" w:hAnsi="Times New Roman" w:cs="Times New Roman"/>
        </w:rPr>
        <w:t xml:space="preserve"> </w:t>
      </w:r>
      <w:r w:rsidR="005374AE">
        <w:rPr>
          <w:rFonts w:ascii="Times New Roman" w:hAnsi="Times New Roman" w:cs="Times New Roman"/>
        </w:rPr>
        <w:t xml:space="preserve">Required standards publications include </w:t>
      </w:r>
      <w:r w:rsidR="005374AE" w:rsidRPr="005374AE">
        <w:rPr>
          <w:rFonts w:ascii="Times New Roman" w:hAnsi="Times New Roman" w:cs="Times New Roman"/>
        </w:rPr>
        <w:t>NIST Special Publication 500-291, NIST Cloud Computing Roadmap, presents these standards in the context of the NIST Cloud Computing Reference Architecture using the NIST taxonomy in NIST Special Publication 500-292, NIST Cloud Computing Reference Architecture</w:t>
      </w:r>
      <w:r w:rsidR="00794612" w:rsidRPr="005374AE">
        <w:rPr>
          <w:rFonts w:ascii="Times New Roman" w:hAnsi="Times New Roman" w:cs="Times New Roman"/>
        </w:rPr>
        <w:t>.</w:t>
      </w:r>
    </w:p>
    <w:p w:rsidR="00157398" w:rsidRDefault="00157398" w:rsidP="00157398">
      <w:pPr>
        <w:pStyle w:val="Default"/>
        <w:rPr>
          <w:rFonts w:ascii="Times New Roman" w:hAnsi="Times New Roman" w:cs="Times New Roman"/>
        </w:rPr>
      </w:pPr>
    </w:p>
    <w:p w:rsidR="003B25AE" w:rsidRDefault="003B25AE" w:rsidP="00157398">
      <w:pPr>
        <w:pStyle w:val="Default"/>
        <w:rPr>
          <w:rFonts w:ascii="Times New Roman" w:hAnsi="Times New Roman" w:cs="Times New Roman"/>
        </w:rPr>
      </w:pPr>
      <w:r>
        <w:rPr>
          <w:rFonts w:ascii="Times New Roman" w:hAnsi="Times New Roman" w:cs="Times New Roman"/>
        </w:rPr>
        <w:t xml:space="preserve">In considering </w:t>
      </w:r>
      <w:r w:rsidR="00852C67">
        <w:rPr>
          <w:rFonts w:ascii="Times New Roman" w:hAnsi="Times New Roman" w:cs="Times New Roman"/>
        </w:rPr>
        <w:t>DHS ECS</w:t>
      </w:r>
      <w:r>
        <w:rPr>
          <w:rFonts w:ascii="Times New Roman" w:hAnsi="Times New Roman" w:cs="Times New Roman"/>
        </w:rPr>
        <w:t xml:space="preserve"> solutions, all DHS Programs will </w:t>
      </w:r>
      <w:r w:rsidR="00157398">
        <w:rPr>
          <w:rFonts w:ascii="Times New Roman" w:hAnsi="Times New Roman" w:cs="Times New Roman"/>
        </w:rPr>
        <w:t>ensure</w:t>
      </w:r>
      <w:r w:rsidR="00157398" w:rsidRPr="00331E6E">
        <w:rPr>
          <w:rFonts w:ascii="Times New Roman" w:hAnsi="Times New Roman" w:cs="Times New Roman"/>
        </w:rPr>
        <w:t xml:space="preserve"> availability of technically sound and timely standa</w:t>
      </w:r>
      <w:r w:rsidRPr="003B25AE">
        <w:rPr>
          <w:rFonts w:ascii="Times New Roman" w:hAnsi="Times New Roman" w:cs="Times New Roman"/>
        </w:rPr>
        <w:t>rds to support their missions.</w:t>
      </w:r>
      <w:r>
        <w:rPr>
          <w:rStyle w:val="FootnoteReference"/>
          <w:rFonts w:ascii="Times New Roman" w:hAnsi="Times New Roman"/>
        </w:rPr>
        <w:footnoteReference w:id="29"/>
      </w:r>
      <w:r w:rsidRPr="003B25AE">
        <w:rPr>
          <w:rFonts w:ascii="Times New Roman" w:hAnsi="Times New Roman" w:cs="Times New Roman"/>
        </w:rPr>
        <w:t xml:space="preserve"> </w:t>
      </w:r>
    </w:p>
    <w:p w:rsidR="003B25AE" w:rsidRDefault="00157398" w:rsidP="00742544">
      <w:pPr>
        <w:pStyle w:val="Default"/>
        <w:numPr>
          <w:ilvl w:val="0"/>
          <w:numId w:val="33"/>
        </w:numPr>
        <w:rPr>
          <w:rFonts w:ascii="Times New Roman" w:hAnsi="Times New Roman" w:cs="Times New Roman"/>
        </w:rPr>
      </w:pPr>
      <w:r w:rsidRPr="00331E6E">
        <w:rPr>
          <w:rFonts w:ascii="Times New Roman" w:hAnsi="Times New Roman" w:cs="Times New Roman"/>
        </w:rPr>
        <w:lastRenderedPageBreak/>
        <w:t xml:space="preserve">Standards specification: In accordance with Office of Management and Budget (OMB) Circular A-119, Federal Participation in the Development and Use of Voluntary Consensus Standards and in Conformity Assessment Activities, </w:t>
      </w:r>
      <w:r w:rsidR="003B25AE">
        <w:rPr>
          <w:rFonts w:ascii="Times New Roman" w:hAnsi="Times New Roman" w:cs="Times New Roman"/>
        </w:rPr>
        <w:t>Programs will</w:t>
      </w:r>
      <w:r w:rsidRPr="00331E6E">
        <w:rPr>
          <w:rFonts w:ascii="Times New Roman" w:hAnsi="Times New Roman" w:cs="Times New Roman"/>
        </w:rPr>
        <w:t xml:space="preserve"> specify relevant voluntary consensus standards in their procurements. The NIST Standards.gov website includes a useful list of questions that agencies should consider before selecti</w:t>
      </w:r>
      <w:r w:rsidR="003B25AE" w:rsidRPr="003B25AE">
        <w:rPr>
          <w:rFonts w:ascii="Times New Roman" w:hAnsi="Times New Roman" w:cs="Times New Roman"/>
        </w:rPr>
        <w:t xml:space="preserve">ng standards for agency use15. </w:t>
      </w:r>
    </w:p>
    <w:p w:rsidR="003B25AE" w:rsidRDefault="00157398" w:rsidP="00742544">
      <w:pPr>
        <w:pStyle w:val="Default"/>
        <w:numPr>
          <w:ilvl w:val="0"/>
          <w:numId w:val="33"/>
        </w:numPr>
        <w:rPr>
          <w:rFonts w:ascii="Times New Roman" w:hAnsi="Times New Roman" w:cs="Times New Roman"/>
        </w:rPr>
      </w:pPr>
      <w:r w:rsidRPr="00331E6E">
        <w:rPr>
          <w:rFonts w:ascii="Times New Roman" w:hAnsi="Times New Roman" w:cs="Times New Roman"/>
        </w:rPr>
        <w:t xml:space="preserve">Standards requirements: </w:t>
      </w:r>
      <w:r w:rsidR="003B25AE">
        <w:rPr>
          <w:rFonts w:ascii="Times New Roman" w:hAnsi="Times New Roman" w:cs="Times New Roman"/>
        </w:rPr>
        <w:t>Programs will</w:t>
      </w:r>
      <w:r w:rsidRPr="00331E6E">
        <w:rPr>
          <w:rFonts w:ascii="Times New Roman" w:hAnsi="Times New Roman" w:cs="Times New Roman"/>
        </w:rPr>
        <w:t xml:space="preserve"> contribute clear and comprehensive mission requirements to help support the definition of p</w:t>
      </w:r>
      <w:r w:rsidR="00852C67">
        <w:rPr>
          <w:rFonts w:ascii="Times New Roman" w:hAnsi="Times New Roman" w:cs="Times New Roman"/>
        </w:rPr>
        <w:t>erformance-based computing</w:t>
      </w:r>
      <w:r w:rsidRPr="00331E6E">
        <w:rPr>
          <w:rFonts w:ascii="Times New Roman" w:hAnsi="Times New Roman" w:cs="Times New Roman"/>
        </w:rPr>
        <w:t xml:space="preserve"> stan</w:t>
      </w:r>
      <w:r w:rsidR="003B25AE" w:rsidRPr="003B25AE">
        <w:rPr>
          <w:rFonts w:ascii="Times New Roman" w:hAnsi="Times New Roman" w:cs="Times New Roman"/>
        </w:rPr>
        <w:t xml:space="preserve">dards by the private sector16. </w:t>
      </w:r>
    </w:p>
    <w:p w:rsidR="00AC69B4" w:rsidRDefault="00AC69B4" w:rsidP="00AC69B4">
      <w:pPr>
        <w:pStyle w:val="Default"/>
        <w:rPr>
          <w:rFonts w:ascii="Times New Roman" w:hAnsi="Times New Roman" w:cs="Times New Roman"/>
        </w:rPr>
      </w:pPr>
    </w:p>
    <w:p w:rsidR="00157398" w:rsidRDefault="00852C67" w:rsidP="00AC69B4">
      <w:pPr>
        <w:pStyle w:val="Default"/>
        <w:rPr>
          <w:rFonts w:ascii="Times New Roman" w:hAnsi="Times New Roman" w:cs="Times New Roman"/>
        </w:rPr>
      </w:pPr>
      <w:r>
        <w:rPr>
          <w:rFonts w:ascii="Times New Roman" w:hAnsi="Times New Roman" w:cs="Times New Roman"/>
          <w:b/>
        </w:rPr>
        <w:t>Enterprise</w:t>
      </w:r>
      <w:r w:rsidR="003B25AE" w:rsidRPr="00794612">
        <w:rPr>
          <w:rFonts w:ascii="Times New Roman" w:hAnsi="Times New Roman" w:cs="Times New Roman"/>
          <w:b/>
        </w:rPr>
        <w:t xml:space="preserve"> Computing Reference Architecture</w:t>
      </w:r>
      <w:r w:rsidR="003B25AE">
        <w:rPr>
          <w:rFonts w:ascii="Times New Roman" w:hAnsi="Times New Roman" w:cs="Times New Roman"/>
        </w:rPr>
        <w:t xml:space="preserve">: </w:t>
      </w:r>
      <w:r>
        <w:rPr>
          <w:rFonts w:ascii="Times New Roman" w:hAnsi="Times New Roman" w:cs="Times New Roman"/>
        </w:rPr>
        <w:t xml:space="preserve">DHS ECS will work with Program Managers to ensure that </w:t>
      </w:r>
      <w:r w:rsidR="00157398" w:rsidRPr="003B25AE">
        <w:rPr>
          <w:rFonts w:ascii="Times New Roman" w:hAnsi="Times New Roman" w:cs="Times New Roman"/>
        </w:rPr>
        <w:t xml:space="preserve">service providers categorize their </w:t>
      </w:r>
      <w:r w:rsidR="00D9327B">
        <w:rPr>
          <w:rFonts w:ascii="Times New Roman" w:hAnsi="Times New Roman" w:cs="Times New Roman"/>
        </w:rPr>
        <w:t xml:space="preserve">ECS </w:t>
      </w:r>
      <w:r>
        <w:rPr>
          <w:rFonts w:ascii="Times New Roman" w:hAnsi="Times New Roman" w:cs="Times New Roman"/>
        </w:rPr>
        <w:t xml:space="preserve">cloud </w:t>
      </w:r>
      <w:r w:rsidR="00D9327B">
        <w:rPr>
          <w:rFonts w:ascii="Times New Roman" w:hAnsi="Times New Roman" w:cs="Times New Roman"/>
        </w:rPr>
        <w:t>access service</w:t>
      </w:r>
      <w:r w:rsidR="00157398" w:rsidRPr="003B25AE">
        <w:rPr>
          <w:rFonts w:ascii="Times New Roman" w:hAnsi="Times New Roman" w:cs="Times New Roman"/>
        </w:rPr>
        <w:t xml:space="preserve"> using the NIST Cloud Computing Reference Architecture. This can be accomplished by the vendor’s “mapping” of services to the reference architecture, and presenting this “mapping” along with the vendor’s customized marketing and technical information. The reference architecture mapping provides a common and consistent frame of reference to compare vendor offerings when evaluating and procuring cloud services.</w:t>
      </w:r>
    </w:p>
    <w:p w:rsidR="00AC69B4" w:rsidRDefault="00AC69B4" w:rsidP="00AC69B4">
      <w:pPr>
        <w:pStyle w:val="Default"/>
        <w:ind w:left="720"/>
        <w:rPr>
          <w:rFonts w:ascii="Times New Roman" w:hAnsi="Times New Roman" w:cs="Times New Roman"/>
        </w:rPr>
      </w:pPr>
    </w:p>
    <w:p w:rsidR="003B25AE" w:rsidRPr="003B25AE" w:rsidRDefault="003B25AE" w:rsidP="00AC69B4">
      <w:pPr>
        <w:pStyle w:val="Default"/>
        <w:rPr>
          <w:rFonts w:ascii="Times New Roman" w:hAnsi="Times New Roman" w:cs="Times New Roman"/>
        </w:rPr>
      </w:pPr>
      <w:r w:rsidRPr="00AC69B4">
        <w:rPr>
          <w:rFonts w:ascii="Times New Roman" w:hAnsi="Times New Roman" w:cs="Times New Roman"/>
          <w:b/>
        </w:rPr>
        <w:t>IPv6</w:t>
      </w:r>
      <w:r>
        <w:rPr>
          <w:rFonts w:ascii="Times New Roman" w:hAnsi="Times New Roman" w:cs="Times New Roman"/>
        </w:rPr>
        <w:t xml:space="preserve">: </w:t>
      </w:r>
      <w:r w:rsidRPr="003B25AE">
        <w:rPr>
          <w:rFonts w:ascii="Times New Roman" w:hAnsi="Times New Roman" w:cs="Times New Roman"/>
        </w:rPr>
        <w:t xml:space="preserve"> </w:t>
      </w:r>
      <w:r>
        <w:rPr>
          <w:rFonts w:ascii="Times New Roman" w:hAnsi="Times New Roman" w:cs="Times New Roman"/>
        </w:rPr>
        <w:t>T</w:t>
      </w:r>
      <w:r w:rsidRPr="003B25AE">
        <w:rPr>
          <w:rFonts w:ascii="Times New Roman" w:hAnsi="Times New Roman" w:cs="Times New Roman"/>
        </w:rPr>
        <w:t xml:space="preserve">he Civilian Agency Acquisition Council and the Defense Acquisition Regulations Council issued a final rule in December 2009 amending the Federal Acquisition Regulation (FAR) to require all new information technology acquisitions using Internet Protocol (IP) to include IPv6 requirements expressed using the USGv6 Profile and to require vendors to document their compliance with those requirements through the USGv6 Testing Program. Accordingly, </w:t>
      </w:r>
      <w:r>
        <w:rPr>
          <w:rFonts w:ascii="Times New Roman" w:hAnsi="Times New Roman" w:cs="Times New Roman"/>
        </w:rPr>
        <w:t>DHS Programs will</w:t>
      </w:r>
      <w:r w:rsidRPr="003B25AE">
        <w:rPr>
          <w:rFonts w:ascii="Times New Roman" w:hAnsi="Times New Roman" w:cs="Times New Roman"/>
        </w:rPr>
        <w:t xml:space="preserve"> include language in solicitations and contracts, where applicable</w:t>
      </w:r>
      <w:r>
        <w:rPr>
          <w:rFonts w:ascii="Times New Roman" w:hAnsi="Times New Roman" w:cs="Times New Roman"/>
        </w:rPr>
        <w:t xml:space="preserve"> to </w:t>
      </w:r>
      <w:r w:rsidR="00D9327B">
        <w:rPr>
          <w:rFonts w:ascii="Times New Roman" w:hAnsi="Times New Roman" w:cs="Times New Roman"/>
        </w:rPr>
        <w:t>DHS ECS solutions</w:t>
      </w:r>
      <w:r w:rsidRPr="003B25AE">
        <w:rPr>
          <w:rFonts w:ascii="Times New Roman" w:hAnsi="Times New Roman" w:cs="Times New Roman"/>
        </w:rPr>
        <w:t>.</w:t>
      </w:r>
    </w:p>
    <w:p w:rsidR="00C64342" w:rsidRPr="00157398" w:rsidRDefault="00C64342" w:rsidP="00C64342">
      <w:pPr>
        <w:rPr>
          <w:b/>
          <w:bCs/>
        </w:rPr>
      </w:pPr>
    </w:p>
    <w:p w:rsidR="001D637F" w:rsidRDefault="00C11D2F" w:rsidP="00AC69B4">
      <w:r w:rsidRPr="00AC69B4">
        <w:rPr>
          <w:b/>
          <w:bCs/>
        </w:rPr>
        <w:t>Security</w:t>
      </w:r>
      <w:r w:rsidRPr="00631CFB">
        <w:t>:</w:t>
      </w:r>
      <w:r w:rsidR="00465924" w:rsidRPr="00AC69B4">
        <w:rPr>
          <w:rFonts w:ascii="Calibri" w:hAnsi="Calibri" w:cs="Calibri"/>
          <w:color w:val="000000"/>
          <w:sz w:val="23"/>
          <w:szCs w:val="23"/>
        </w:rPr>
        <w:t xml:space="preserve"> </w:t>
      </w:r>
      <w:r w:rsidR="00465924" w:rsidRPr="00465924">
        <w:t xml:space="preserve">Placing agency data on an information system involves risk, so </w:t>
      </w:r>
      <w:r w:rsidR="00465924">
        <w:t>all DHS Programs must ensure</w:t>
      </w:r>
      <w:r w:rsidR="00465924" w:rsidRPr="00465924">
        <w:t xml:space="preserve"> that the IT environment in which they are storing and accessing data is secure. As such, all IT </w:t>
      </w:r>
      <w:r w:rsidR="00465924">
        <w:t>systems used by DHS Programs</w:t>
      </w:r>
      <w:r w:rsidR="00465924" w:rsidRPr="00465924">
        <w:t xml:space="preserve"> must meet the requirements of the Federal Information Security and Management Act (FISMA) and related agency-specific policies. FISMA requires that all systems undergo a formal security authorization which details the</w:t>
      </w:r>
      <w:r w:rsidR="00AF67B2">
        <w:t xml:space="preserve"> Service Provider’s responsibilities for </w:t>
      </w:r>
      <w:r w:rsidR="00465924" w:rsidRPr="00AC69B4">
        <w:rPr>
          <w:sz w:val="23"/>
          <w:szCs w:val="23"/>
        </w:rPr>
        <w:lastRenderedPageBreak/>
        <w:t>implementation and continuous monitoring of security controls</w:t>
      </w:r>
      <w:r w:rsidR="004C5A4B" w:rsidRPr="00AC69B4">
        <w:rPr>
          <w:sz w:val="23"/>
          <w:szCs w:val="23"/>
        </w:rPr>
        <w:t>;</w:t>
      </w:r>
      <w:r w:rsidR="00AF67B2" w:rsidRPr="00AC69B4">
        <w:rPr>
          <w:sz w:val="23"/>
          <w:szCs w:val="23"/>
        </w:rPr>
        <w:t xml:space="preserve"> effective monitoring for incidents and threats to ensure compliance</w:t>
      </w:r>
      <w:r w:rsidR="004C5A4B" w:rsidRPr="00AC69B4">
        <w:rPr>
          <w:sz w:val="23"/>
          <w:szCs w:val="23"/>
        </w:rPr>
        <w:t>;</w:t>
      </w:r>
      <w:r w:rsidR="004C5A4B">
        <w:rPr>
          <w:rStyle w:val="FootnoteReference"/>
          <w:sz w:val="23"/>
          <w:szCs w:val="23"/>
        </w:rPr>
        <w:footnoteReference w:id="30"/>
      </w:r>
      <w:r w:rsidR="00AF67B2" w:rsidRPr="00AC69B4">
        <w:rPr>
          <w:sz w:val="23"/>
          <w:szCs w:val="23"/>
        </w:rPr>
        <w:t xml:space="preserve"> </w:t>
      </w:r>
      <w:r w:rsidR="004C5A4B" w:rsidRPr="00AC69B4">
        <w:rPr>
          <w:sz w:val="23"/>
          <w:szCs w:val="23"/>
        </w:rPr>
        <w:t>key management</w:t>
      </w:r>
      <w:r w:rsidR="004C5A4B">
        <w:rPr>
          <w:rStyle w:val="FootnoteReference"/>
          <w:sz w:val="23"/>
          <w:szCs w:val="23"/>
        </w:rPr>
        <w:footnoteReference w:id="31"/>
      </w:r>
      <w:r w:rsidR="004C5A4B" w:rsidRPr="00AC69B4">
        <w:rPr>
          <w:sz w:val="23"/>
          <w:szCs w:val="23"/>
        </w:rPr>
        <w:t xml:space="preserve"> </w:t>
      </w:r>
      <w:r w:rsidR="00AF67B2" w:rsidRPr="00AC69B4">
        <w:rPr>
          <w:sz w:val="23"/>
          <w:szCs w:val="23"/>
        </w:rPr>
        <w:t>to include how the key’s encrypted data are escrowed and what terms and conditions of escrow apply to accessing encrypted data</w:t>
      </w:r>
      <w:r w:rsidR="004C5A4B" w:rsidRPr="00AC69B4">
        <w:rPr>
          <w:sz w:val="23"/>
          <w:szCs w:val="23"/>
        </w:rPr>
        <w:t>; adequate controls and appropriate tools t</w:t>
      </w:r>
      <w:r w:rsidR="004B473A">
        <w:rPr>
          <w:sz w:val="23"/>
          <w:szCs w:val="23"/>
        </w:rPr>
        <w:t>o conduct forensics of the</w:t>
      </w:r>
      <w:r w:rsidR="004C5A4B" w:rsidRPr="00AC69B4">
        <w:rPr>
          <w:sz w:val="23"/>
          <w:szCs w:val="23"/>
        </w:rPr>
        <w:t xml:space="preserve"> Service Provider’s environment; implementation of two-factor authenti</w:t>
      </w:r>
      <w:r w:rsidR="004B473A">
        <w:rPr>
          <w:sz w:val="23"/>
          <w:szCs w:val="23"/>
        </w:rPr>
        <w:t>cation to gain access to a</w:t>
      </w:r>
      <w:r w:rsidR="004C5A4B" w:rsidRPr="00AC69B4">
        <w:rPr>
          <w:sz w:val="23"/>
          <w:szCs w:val="23"/>
        </w:rPr>
        <w:t xml:space="preserve"> Service Provider</w:t>
      </w:r>
      <w:r w:rsidR="00E20037" w:rsidRPr="00AC69B4">
        <w:rPr>
          <w:sz w:val="23"/>
          <w:szCs w:val="23"/>
        </w:rPr>
        <w:t xml:space="preserve">’s environment; and authorized </w:t>
      </w:r>
      <w:r w:rsidR="00AC69B4">
        <w:rPr>
          <w:sz w:val="23"/>
          <w:szCs w:val="23"/>
        </w:rPr>
        <w:t xml:space="preserve">access, management </w:t>
      </w:r>
      <w:r w:rsidR="00E20037" w:rsidRPr="00AC69B4">
        <w:rPr>
          <w:sz w:val="23"/>
          <w:szCs w:val="23"/>
        </w:rPr>
        <w:t xml:space="preserve">and preservation of transaction records and audit logs. </w:t>
      </w:r>
      <w:r w:rsidR="00E20037">
        <w:rPr>
          <w:rStyle w:val="FootnoteReference"/>
          <w:sz w:val="23"/>
          <w:szCs w:val="23"/>
        </w:rPr>
        <w:footnoteReference w:id="32"/>
      </w:r>
      <w:r w:rsidR="004B473A">
        <w:rPr>
          <w:sz w:val="23"/>
          <w:szCs w:val="23"/>
        </w:rPr>
        <w:t xml:space="preserve"> After the</w:t>
      </w:r>
      <w:r w:rsidR="00465924" w:rsidRPr="00AC69B4">
        <w:rPr>
          <w:sz w:val="23"/>
          <w:szCs w:val="23"/>
        </w:rPr>
        <w:t xml:space="preserve"> Service Provider’s environment has gone through a security authorization, </w:t>
      </w:r>
      <w:r w:rsidR="00D9327B">
        <w:rPr>
          <w:sz w:val="23"/>
          <w:szCs w:val="23"/>
        </w:rPr>
        <w:t xml:space="preserve">the DHS ECS governance </w:t>
      </w:r>
      <w:r w:rsidR="00043EC8" w:rsidRPr="00AC69B4">
        <w:rPr>
          <w:sz w:val="23"/>
          <w:szCs w:val="23"/>
        </w:rPr>
        <w:t xml:space="preserve">requires that the Program Manager </w:t>
      </w:r>
      <w:r w:rsidR="00465924" w:rsidRPr="00AC69B4">
        <w:rPr>
          <w:sz w:val="23"/>
          <w:szCs w:val="23"/>
        </w:rPr>
        <w:t xml:space="preserve">review the risks posed by placing Federal data in that system, and if this risk level is acceptable, may </w:t>
      </w:r>
      <w:r w:rsidR="00043EC8" w:rsidRPr="00AC69B4">
        <w:rPr>
          <w:sz w:val="23"/>
          <w:szCs w:val="23"/>
        </w:rPr>
        <w:t>seek</w:t>
      </w:r>
      <w:r w:rsidR="00465924" w:rsidRPr="00AC69B4">
        <w:rPr>
          <w:sz w:val="23"/>
          <w:szCs w:val="23"/>
        </w:rPr>
        <w:t xml:space="preserve"> an authority to operate (ATO).</w:t>
      </w:r>
      <w:r w:rsidR="001D637F">
        <w:t>Continuous Monitoring:  DHS Programs</w:t>
      </w:r>
      <w:r w:rsidR="004B473A">
        <w:t xml:space="preserve"> must continue to ensure a</w:t>
      </w:r>
      <w:r w:rsidR="001D637F">
        <w:t xml:space="preserve"> Service Provider environment maintains an acceptable level of risk. In order to do this, DHS </w:t>
      </w:r>
      <w:r w:rsidR="004B473A">
        <w:t xml:space="preserve">ECS </w:t>
      </w:r>
      <w:r w:rsidR="001D637F">
        <w:t xml:space="preserve">governance requires that </w:t>
      </w:r>
      <w:r w:rsidR="004B473A">
        <w:t>Program Managers work with</w:t>
      </w:r>
      <w:r w:rsidR="001D637F">
        <w:t xml:space="preserve"> Service Providers to implement a continuous monitoring program</w:t>
      </w:r>
      <w:r w:rsidR="001D637F">
        <w:rPr>
          <w:rStyle w:val="FootnoteReference"/>
        </w:rPr>
        <w:footnoteReference w:id="33"/>
      </w:r>
      <w:r w:rsidR="001D637F">
        <w:t xml:space="preserve"> to ensure that the l</w:t>
      </w:r>
      <w:r w:rsidR="004B473A">
        <w:t>evel of security through a</w:t>
      </w:r>
      <w:r w:rsidR="001D637F">
        <w:t xml:space="preserve"> Service Provider’s initial security authorization is maintained while Fed</w:t>
      </w:r>
      <w:r w:rsidR="004B473A">
        <w:t>eral data resides within a</w:t>
      </w:r>
      <w:r w:rsidR="001D637F">
        <w:t xml:space="preserve"> Service Provider’s environment.  Such continuous monitoring programs must be developed in accordance with the NIST Publication 800-137 framework and Department of Homeland Security (DHS) guidance, detailed contractually, and must at a minimum address updates to the authorization based on any significant changes to a CSP environment, address new FISMA requirements, and provide updates to control implementations on a basis frequent enough to make on-going risk based decisions. </w:t>
      </w:r>
      <w:r w:rsidR="001D637F">
        <w:rPr>
          <w:rStyle w:val="FootnoteReference"/>
        </w:rPr>
        <w:footnoteReference w:id="34"/>
      </w:r>
    </w:p>
    <w:p w:rsidR="00043EC8" w:rsidRDefault="00043EC8" w:rsidP="00742544">
      <w:pPr>
        <w:pStyle w:val="ListParagraph"/>
        <w:numPr>
          <w:ilvl w:val="0"/>
          <w:numId w:val="34"/>
        </w:numPr>
      </w:pPr>
      <w:proofErr w:type="spellStart"/>
      <w:r>
        <w:t>FedRAMP</w:t>
      </w:r>
      <w:proofErr w:type="spellEnd"/>
      <w:r>
        <w:t xml:space="preserve">:  On December 8, 2011, OMB released a policy memo addressing the security authorization process for cloud computing services. Specifically, this memo requires all Federal agencies to use the Federal Risk and Authorization Management Program </w:t>
      </w:r>
      <w:r>
        <w:lastRenderedPageBreak/>
        <w:t>(</w:t>
      </w:r>
      <w:proofErr w:type="spellStart"/>
      <w:r>
        <w:t>FedRAMP</w:t>
      </w:r>
      <w:proofErr w:type="spellEnd"/>
      <w:r>
        <w:t xml:space="preserve">) when procuring and subsequently authorizing cloud computing solutions. </w:t>
      </w:r>
      <w:r w:rsidR="001D637F">
        <w:rPr>
          <w:rStyle w:val="FootnoteReference"/>
        </w:rPr>
        <w:footnoteReference w:id="35"/>
      </w:r>
      <w:r>
        <w:t>Specifically, DHS cloud computing governance required Program Managers to:</w:t>
      </w:r>
    </w:p>
    <w:p w:rsidR="00043EC8" w:rsidRDefault="00043EC8" w:rsidP="00742544">
      <w:pPr>
        <w:pStyle w:val="ListParagraph"/>
        <w:numPr>
          <w:ilvl w:val="1"/>
          <w:numId w:val="34"/>
        </w:numPr>
      </w:pPr>
      <w:r>
        <w:t xml:space="preserve">Use </w:t>
      </w:r>
      <w:proofErr w:type="spellStart"/>
      <w:r>
        <w:t>FedRAMP</w:t>
      </w:r>
      <w:proofErr w:type="spellEnd"/>
      <w:r>
        <w:t xml:space="preserve"> when authorizing cloud services;</w:t>
      </w:r>
    </w:p>
    <w:p w:rsidR="00043EC8" w:rsidRDefault="00043EC8" w:rsidP="00742544">
      <w:pPr>
        <w:pStyle w:val="ListParagraph"/>
        <w:numPr>
          <w:ilvl w:val="1"/>
          <w:numId w:val="34"/>
        </w:numPr>
      </w:pPr>
      <w:r>
        <w:t xml:space="preserve">Use the </w:t>
      </w:r>
      <w:proofErr w:type="spellStart"/>
      <w:r>
        <w:t>FedRAMP</w:t>
      </w:r>
      <w:proofErr w:type="spellEnd"/>
      <w:r>
        <w:t xml:space="preserve"> process and security requirements as a baseline for authorizing cloud services;</w:t>
      </w:r>
    </w:p>
    <w:p w:rsidR="00043EC8" w:rsidRDefault="00043EC8" w:rsidP="00742544">
      <w:pPr>
        <w:pStyle w:val="ListParagraph"/>
        <w:numPr>
          <w:ilvl w:val="1"/>
          <w:numId w:val="34"/>
        </w:numPr>
      </w:pPr>
      <w:r>
        <w:t xml:space="preserve">Require CSPs to comply with </w:t>
      </w:r>
      <w:proofErr w:type="spellStart"/>
      <w:r>
        <w:t>FedRAMP</w:t>
      </w:r>
      <w:proofErr w:type="spellEnd"/>
      <w:r>
        <w:t xml:space="preserve"> security requirements;</w:t>
      </w:r>
    </w:p>
    <w:p w:rsidR="00043EC8" w:rsidRDefault="00043EC8" w:rsidP="00742544">
      <w:pPr>
        <w:pStyle w:val="ListParagraph"/>
        <w:numPr>
          <w:ilvl w:val="1"/>
          <w:numId w:val="34"/>
        </w:numPr>
      </w:pPr>
      <w:r>
        <w:t>Establish a continuous monitoring program for cloud services;</w:t>
      </w:r>
    </w:p>
    <w:p w:rsidR="00043EC8" w:rsidRDefault="00043EC8" w:rsidP="00742544">
      <w:pPr>
        <w:pStyle w:val="ListParagraph"/>
        <w:numPr>
          <w:ilvl w:val="1"/>
          <w:numId w:val="34"/>
        </w:numPr>
      </w:pPr>
      <w:r>
        <w:t xml:space="preserve">Ensure that maintenance of </w:t>
      </w:r>
      <w:proofErr w:type="spellStart"/>
      <w:r>
        <w:t>FedRAMP</w:t>
      </w:r>
      <w:proofErr w:type="spellEnd"/>
      <w:r>
        <w:t xml:space="preserve"> security authorization requirements is addressed contractually;</w:t>
      </w:r>
    </w:p>
    <w:p w:rsidR="00043EC8" w:rsidRDefault="00043EC8" w:rsidP="00742544">
      <w:pPr>
        <w:pStyle w:val="ListParagraph"/>
        <w:numPr>
          <w:ilvl w:val="1"/>
          <w:numId w:val="34"/>
        </w:numPr>
      </w:pPr>
      <w:r>
        <w:t xml:space="preserve">Require that Cloud Service </w:t>
      </w:r>
      <w:r w:rsidR="00794612">
        <w:t>Providers</w:t>
      </w:r>
      <w:r>
        <w:t xml:space="preserve"> route their traffic through a Trusted Internet Connection (TIC); and</w:t>
      </w:r>
    </w:p>
    <w:p w:rsidR="00043EC8" w:rsidRDefault="00043EC8" w:rsidP="00742544">
      <w:pPr>
        <w:pStyle w:val="ListParagraph"/>
        <w:numPr>
          <w:ilvl w:val="1"/>
          <w:numId w:val="34"/>
        </w:numPr>
      </w:pPr>
      <w:r>
        <w:t xml:space="preserve">Provide an annual list of all systems that do not meet </w:t>
      </w:r>
      <w:proofErr w:type="spellStart"/>
      <w:r>
        <w:t>FedRAMP</w:t>
      </w:r>
      <w:proofErr w:type="spellEnd"/>
      <w:r>
        <w:t xml:space="preserve"> requirements to OMB.  DHS governance of this process will notify Program Managers when to provide this list to the DHS CIO EBMO by system through their Application Services Council (ASC) Member.</w:t>
      </w:r>
    </w:p>
    <w:p w:rsidR="00D6634C" w:rsidRPr="00D6634C" w:rsidRDefault="00C11D2F" w:rsidP="00D6634C">
      <w:r w:rsidRPr="009D352A">
        <w:rPr>
          <w:b/>
          <w:bCs/>
        </w:rPr>
        <w:t>Privacy</w:t>
      </w:r>
      <w:r w:rsidRPr="00631CFB">
        <w:t xml:space="preserve">: </w:t>
      </w:r>
      <w:r w:rsidR="00D6634C" w:rsidRPr="00D6634C">
        <w:t>Federal agencies and employees can be subject to both criminal and civil penalties for misuse and erroneous disclosures of data that contains</w:t>
      </w:r>
      <w:r w:rsidR="00D6634C">
        <w:t xml:space="preserve"> </w:t>
      </w:r>
      <w:r w:rsidR="00D6634C" w:rsidRPr="00D6634C">
        <w:t>protected information,</w:t>
      </w:r>
      <w:r w:rsidR="00D6634C">
        <w:t xml:space="preserve"> e</w:t>
      </w:r>
      <w:r w:rsidR="004B473A">
        <w:t>ven when this data is in a</w:t>
      </w:r>
      <w:r w:rsidR="00D6634C">
        <w:t xml:space="preserve"> Service Provider</w:t>
      </w:r>
      <w:r w:rsidR="00D6634C" w:rsidRPr="00D6634C">
        <w:t xml:space="preserve"> environment. Personal information, and specifically Personally Identifiable Information (PII), can relate to information about Federal agency employees, other internal users, and a broad array of individual members of the public and can be found in email, agency reports, memos, or even web pages.</w:t>
      </w:r>
      <w:r w:rsidR="00D6634C">
        <w:rPr>
          <w:rStyle w:val="FootnoteReference"/>
        </w:rPr>
        <w:footnoteReference w:id="36"/>
      </w:r>
      <w:r w:rsidR="00D6634C" w:rsidRPr="00D6634C">
        <w:t xml:space="preserve"> </w:t>
      </w:r>
      <w:r w:rsidR="00D6634C">
        <w:t xml:space="preserve"> DHS </w:t>
      </w:r>
      <w:r w:rsidR="00436DFE">
        <w:t xml:space="preserve">ECS </w:t>
      </w:r>
      <w:r w:rsidR="00D6634C">
        <w:t xml:space="preserve">governance of privacy in the cloud requires that Program Managers collaborate and consult with </w:t>
      </w:r>
      <w:r w:rsidR="00D6634C" w:rsidRPr="00D6634C">
        <w:t xml:space="preserve">legal counsel and privacy offices to obtain advice and </w:t>
      </w:r>
      <w:r w:rsidR="00D6634C" w:rsidRPr="00D6634C">
        <w:lastRenderedPageBreak/>
        <w:t>guidance on particular laws and regulatio</w:t>
      </w:r>
      <w:r w:rsidR="00D6634C">
        <w:t xml:space="preserve">ns </w:t>
      </w:r>
      <w:r w:rsidR="004B473A">
        <w:t xml:space="preserve">when data they place in a </w:t>
      </w:r>
      <w:r w:rsidR="00D6634C">
        <w:t>Service Provider</w:t>
      </w:r>
      <w:r w:rsidR="00D6634C" w:rsidRPr="00D6634C">
        <w:t xml:space="preserve"> environment will contain PII. </w:t>
      </w:r>
    </w:p>
    <w:p w:rsidR="00C11D2F" w:rsidRDefault="00D6634C" w:rsidP="00D6634C">
      <w:r w:rsidRPr="00D6634C">
        <w:t>Five areas identi</w:t>
      </w:r>
      <w:r>
        <w:t>fied as key factors for Program Managers</w:t>
      </w:r>
      <w:r w:rsidRPr="00D6634C">
        <w:t xml:space="preserve"> to consider when PII is or could be a par</w:t>
      </w:r>
      <w:r w:rsidR="00436DFE">
        <w:t>t of the data moved to a DHS ECS cloud</w:t>
      </w:r>
      <w:r w:rsidRPr="00D6634C">
        <w:t xml:space="preserve"> environment are: compliance with the Privacy Act of 1974 and related PII requirements, privacy impact assessments (PIAs), privacy traini</w:t>
      </w:r>
      <w:r>
        <w:t xml:space="preserve">ng, data location, and </w:t>
      </w:r>
      <w:r w:rsidR="004B473A">
        <w:t xml:space="preserve">how a </w:t>
      </w:r>
      <w:r>
        <w:t>Service Provider</w:t>
      </w:r>
      <w:r w:rsidR="004B473A">
        <w:t xml:space="preserve"> responds to a breach. How a </w:t>
      </w:r>
      <w:r w:rsidRPr="00D6634C">
        <w:t>S</w:t>
      </w:r>
      <w:r>
        <w:t xml:space="preserve">ervice </w:t>
      </w:r>
      <w:r w:rsidRPr="00D6634C">
        <w:t>P</w:t>
      </w:r>
      <w:r>
        <w:t>rovider</w:t>
      </w:r>
      <w:r w:rsidRPr="00D6634C">
        <w:t xml:space="preserve"> addresses privacy concerns within their environment may impact the overall price and technical structure for a proposed solution, so </w:t>
      </w:r>
      <w:r>
        <w:t>Programs</w:t>
      </w:r>
      <w:r w:rsidRPr="00D6634C">
        <w:t xml:space="preserve"> are advised to gather privacy requirements as early as possible in ord</w:t>
      </w:r>
      <w:r>
        <w:t xml:space="preserve">er </w:t>
      </w:r>
      <w:r w:rsidR="004B473A">
        <w:t xml:space="preserve">to fully understand how a </w:t>
      </w:r>
      <w:r>
        <w:t>Service Provider</w:t>
      </w:r>
      <w:r w:rsidRPr="00D6634C">
        <w:t xml:space="preserve"> will enable an agency to maintain its duty to protect PII.</w:t>
      </w:r>
      <w:r w:rsidR="00886BEC">
        <w:t xml:space="preserve"> </w:t>
      </w:r>
      <w:r w:rsidR="00886BEC">
        <w:rPr>
          <w:rStyle w:val="FootnoteReference"/>
        </w:rPr>
        <w:footnoteReference w:id="37"/>
      </w:r>
    </w:p>
    <w:p w:rsidR="00C11D2F" w:rsidRPr="001D637F" w:rsidRDefault="00C11D2F" w:rsidP="009D352A">
      <w:r w:rsidRPr="009B56E3">
        <w:rPr>
          <w:b/>
          <w:bCs/>
        </w:rPr>
        <w:t>E-Discovery</w:t>
      </w:r>
      <w:r w:rsidRPr="009B56E3">
        <w:t xml:space="preserve">: </w:t>
      </w:r>
      <w:r w:rsidR="00AF61C0">
        <w:t>E</w:t>
      </w:r>
      <w:r w:rsidR="00AF61C0" w:rsidRPr="00021AD4">
        <w:t>-discovery has the potential to be vastly more expensive due to the sheer volume of ESI that Federal agencies generate and are required to maintain.</w:t>
      </w:r>
      <w:r w:rsidR="00AF61C0">
        <w:t xml:space="preserve">  </w:t>
      </w:r>
      <w:r w:rsidR="00AF61C0" w:rsidRPr="00021AD4">
        <w:t>These costs result from not only the inefficient use of agency IT and legal resources to preserve, search, collect, and produce ESI, but may result from court sanctions for noncompliance with e-discovery obligations.</w:t>
      </w:r>
      <w:r w:rsidR="00AF61C0">
        <w:rPr>
          <w:rStyle w:val="FootnoteReference"/>
        </w:rPr>
        <w:footnoteReference w:id="38"/>
      </w:r>
      <w:r w:rsidR="00AF61C0">
        <w:t xml:space="preserve">  </w:t>
      </w:r>
      <w:r w:rsidR="00CA69E8">
        <w:t xml:space="preserve">Given the inevitability of agency litigation and the potential costs and benefits of moving and storing data </w:t>
      </w:r>
      <w:r w:rsidRPr="009B56E3">
        <w:t xml:space="preserve">in a </w:t>
      </w:r>
      <w:r w:rsidR="00CA69E8">
        <w:t>Service Provider</w:t>
      </w:r>
      <w:r w:rsidRPr="009B56E3">
        <w:t xml:space="preserve"> environment</w:t>
      </w:r>
      <w:r w:rsidR="00CA69E8">
        <w:t xml:space="preserve">, DHS </w:t>
      </w:r>
      <w:r w:rsidR="00436DFE">
        <w:t xml:space="preserve">ECS </w:t>
      </w:r>
      <w:r w:rsidR="00CA69E8">
        <w:t>governance of cloud computing require</w:t>
      </w:r>
      <w:r w:rsidR="00021AD4">
        <w:t>s</w:t>
      </w:r>
      <w:r w:rsidR="00CA69E8">
        <w:t xml:space="preserve"> Program Managers to have documented discovery process for locating, preserving, collecting, processing, reviewing and producing electronically stored information (ESI) in the context of civil litigation or investigation</w:t>
      </w:r>
      <w:r w:rsidR="00021AD4">
        <w:t>;</w:t>
      </w:r>
      <w:r w:rsidR="00CA69E8">
        <w:rPr>
          <w:rStyle w:val="FootnoteReference"/>
        </w:rPr>
        <w:footnoteReference w:id="39"/>
      </w:r>
      <w:r w:rsidR="00CA69E8">
        <w:t xml:space="preserve"> </w:t>
      </w:r>
      <w:r w:rsidR="00021AD4">
        <w:t xml:space="preserve">based in established rules of civil procedure; </w:t>
      </w:r>
      <w:r w:rsidR="00021AD4">
        <w:rPr>
          <w:rStyle w:val="FootnoteReference"/>
        </w:rPr>
        <w:footnoteReference w:id="40"/>
      </w:r>
      <w:r w:rsidRPr="009B56E3">
        <w:t xml:space="preserve"> </w:t>
      </w:r>
      <w:r w:rsidR="00021AD4">
        <w:t xml:space="preserve">and available not only when litigation has commenced but when it is reasonably anticipated. </w:t>
      </w:r>
      <w:r w:rsidR="00021AD4">
        <w:rPr>
          <w:rStyle w:val="FootnoteReference"/>
        </w:rPr>
        <w:footnoteReference w:id="41"/>
      </w:r>
      <w:r w:rsidR="00021AD4">
        <w:t xml:space="preserve"> </w:t>
      </w:r>
    </w:p>
    <w:p w:rsidR="00C11D2F" w:rsidRPr="001D637F" w:rsidRDefault="00C11D2F" w:rsidP="009D352A">
      <w:r w:rsidRPr="001D637F">
        <w:rPr>
          <w:b/>
          <w:bCs/>
        </w:rPr>
        <w:lastRenderedPageBreak/>
        <w:t>Freedom of Information Act (FOIA)</w:t>
      </w:r>
      <w:r w:rsidRPr="001D637F">
        <w:t xml:space="preserve">: </w:t>
      </w:r>
      <w:r w:rsidR="009F50F6">
        <w:t>DHS’ obligation to comply with the FOIA</w:t>
      </w:r>
      <w:r w:rsidR="00AC3B7B">
        <w:rPr>
          <w:rStyle w:val="FootnoteReference"/>
        </w:rPr>
        <w:footnoteReference w:id="42"/>
      </w:r>
      <w:r w:rsidR="009F50F6" w:rsidRPr="009F50F6">
        <w:t xml:space="preserve"> do</w:t>
      </w:r>
      <w:r w:rsidR="00BD1516">
        <w:t>es</w:t>
      </w:r>
      <w:r w:rsidR="009F50F6" w:rsidRPr="009F50F6">
        <w:t xml:space="preserve"> not change as an agency’s IT system moves to a CSP environment. The FOIA generally provides that anyone may request agency records, including information that is maintained in electronic form or in traditional paper files. Storing records in a cloud environment does not aff</w:t>
      </w:r>
      <w:r w:rsidR="00AC3B7B">
        <w:t>ect their agency record status</w:t>
      </w:r>
      <w:r w:rsidR="009F50F6" w:rsidRPr="009F50F6">
        <w:t>.</w:t>
      </w:r>
      <w:r w:rsidR="00AC3B7B">
        <w:rPr>
          <w:rStyle w:val="FootnoteReference"/>
        </w:rPr>
        <w:footnoteReference w:id="43"/>
      </w:r>
      <w:r w:rsidR="009F50F6" w:rsidRPr="009F50F6">
        <w:t xml:space="preserve"> </w:t>
      </w:r>
      <w:r w:rsidR="00AC3B7B">
        <w:t xml:space="preserve"> </w:t>
      </w:r>
      <w:r w:rsidR="009F50F6" w:rsidRPr="009F50F6">
        <w:t>Agencies are required to produce information in any form or format requested by the person if the record is readily reproducibl</w:t>
      </w:r>
      <w:r w:rsidR="00AC3B7B">
        <w:t>e by the agency in that format</w:t>
      </w:r>
      <w:r w:rsidR="009F50F6" w:rsidRPr="009F50F6">
        <w:t>.</w:t>
      </w:r>
      <w:r w:rsidR="00AC3B7B">
        <w:rPr>
          <w:rStyle w:val="FootnoteReference"/>
        </w:rPr>
        <w:footnoteReference w:id="44"/>
      </w:r>
      <w:r w:rsidR="00AC3B7B">
        <w:t xml:space="preserve"> </w:t>
      </w:r>
      <w:r w:rsidR="00AC3B7B" w:rsidRPr="00AC3B7B">
        <w:t xml:space="preserve">Cloud solutions present possibilities for efficiencies in </w:t>
      </w:r>
      <w:r w:rsidR="00AC3B7B">
        <w:t>DHS Program</w:t>
      </w:r>
      <w:r w:rsidR="00AC3B7B" w:rsidRPr="00AC3B7B">
        <w:t xml:space="preserve"> abilities to do robust enterprise searches for records responsive to FOIA requests.</w:t>
      </w:r>
      <w:r w:rsidR="00AC3B7B">
        <w:t xml:space="preserve">  </w:t>
      </w:r>
      <w:r w:rsidR="00AC3B7B" w:rsidRPr="00AC3B7B">
        <w:t xml:space="preserve">In order to ensure </w:t>
      </w:r>
      <w:r w:rsidR="00AC3B7B">
        <w:t>that DHS Programs</w:t>
      </w:r>
      <w:r w:rsidR="00AC3B7B" w:rsidRPr="00AC3B7B">
        <w:t xml:space="preserve"> have the ability to search and locate specific ESI required for a giv</w:t>
      </w:r>
      <w:r w:rsidR="00AC3B7B">
        <w:t>en FOIA request, DHS governance of cloud computing requires that Programs</w:t>
      </w:r>
      <w:r w:rsidR="00AC3B7B" w:rsidRPr="00AC3B7B">
        <w:t xml:space="preserve"> focus on search capabilities in the cloud. This may include considering specific software or the methods used for searching, or incorporating search and retrieval s</w:t>
      </w:r>
      <w:r w:rsidR="00AC3B7B">
        <w:t xml:space="preserve">tandards. Furthermore, Programs </w:t>
      </w:r>
      <w:r w:rsidR="00AC3B7B" w:rsidRPr="00AC3B7B">
        <w:t>may consider whether a C</w:t>
      </w:r>
      <w:r w:rsidR="00AC3B7B">
        <w:t xml:space="preserve">loud </w:t>
      </w:r>
      <w:r w:rsidR="00AC3B7B" w:rsidRPr="00AC3B7B">
        <w:t>S</w:t>
      </w:r>
      <w:r w:rsidR="00AC3B7B">
        <w:t xml:space="preserve">ervice </w:t>
      </w:r>
      <w:r w:rsidR="00AC3B7B" w:rsidRPr="00AC3B7B">
        <w:t>P</w:t>
      </w:r>
      <w:r w:rsidR="00AC3B7B">
        <w:t>rovider</w:t>
      </w:r>
      <w:r w:rsidR="00AC3B7B" w:rsidRPr="00AC3B7B">
        <w:t xml:space="preserve"> </w:t>
      </w:r>
      <w:r w:rsidR="00AC3B7B">
        <w:t>should have</w:t>
      </w:r>
      <w:r w:rsidR="00AC3B7B" w:rsidRPr="00AC3B7B">
        <w:t xml:space="preserve"> the capability </w:t>
      </w:r>
      <w:r w:rsidR="004824E0">
        <w:t xml:space="preserve">and tools </w:t>
      </w:r>
      <w:r w:rsidR="00AC3B7B" w:rsidRPr="00AC3B7B">
        <w:t xml:space="preserve">to de-duplicate, de-conflict, thread, and redact </w:t>
      </w:r>
      <w:r w:rsidR="004824E0">
        <w:t xml:space="preserve">paper </w:t>
      </w:r>
      <w:r w:rsidR="00AC3B7B" w:rsidRPr="00AC3B7B">
        <w:t xml:space="preserve">documents, </w:t>
      </w:r>
      <w:r w:rsidR="004824E0">
        <w:t xml:space="preserve">active files and backup archives, emails, and other electronic files </w:t>
      </w:r>
      <w:r w:rsidR="00AC3B7B" w:rsidRPr="00AC3B7B">
        <w:t>in order to prepare for production material that is potentially responsive to a FOIA request</w:t>
      </w:r>
      <w:r w:rsidR="003C0C39">
        <w:t xml:space="preserve"> since the DHS Program user might lose the ability to internally search and retrieve data in the cloud</w:t>
      </w:r>
      <w:r w:rsidR="00AC3B7B" w:rsidRPr="00AC3B7B">
        <w:t>.</w:t>
      </w:r>
      <w:r w:rsidR="00AC3B7B">
        <w:t xml:space="preserve"> </w:t>
      </w:r>
      <w:r w:rsidR="00AC3B7B">
        <w:rPr>
          <w:rStyle w:val="FootnoteReference"/>
        </w:rPr>
        <w:footnoteReference w:id="45"/>
      </w:r>
    </w:p>
    <w:p w:rsidR="00C11D2F" w:rsidRPr="00631CFB" w:rsidRDefault="00C11D2F" w:rsidP="009D352A">
      <w:r w:rsidRPr="001D637F">
        <w:rPr>
          <w:b/>
          <w:bCs/>
        </w:rPr>
        <w:t>E-Records</w:t>
      </w:r>
      <w:r w:rsidRPr="001D637F">
        <w:t xml:space="preserve">: </w:t>
      </w:r>
      <w:r w:rsidR="00C07E7D" w:rsidRPr="00C07E7D">
        <w:t>In November 2011, President Obama issued a Presidential Memorandum on “Managing Government Records” that expressly referenced agencies “deploying cloud based services or storage solutions” as part of their records management programs</w:t>
      </w:r>
      <w:r w:rsidR="00C07E7D">
        <w:t>.</w:t>
      </w:r>
      <w:r w:rsidR="00C07E7D">
        <w:rPr>
          <w:rStyle w:val="FootnoteReference"/>
        </w:rPr>
        <w:footnoteReference w:id="46"/>
      </w:r>
      <w:r w:rsidR="00C07E7D">
        <w:t xml:space="preserve">  DHS’ obligation</w:t>
      </w:r>
      <w:r w:rsidR="00C07E7D" w:rsidRPr="00C07E7D">
        <w:t xml:space="preserve"> to comply with</w:t>
      </w:r>
      <w:r w:rsidR="00C07E7D">
        <w:t xml:space="preserve"> the </w:t>
      </w:r>
      <w:r w:rsidR="00C07E7D">
        <w:lastRenderedPageBreak/>
        <w:t>Federal Records Act (FRA)</w:t>
      </w:r>
      <w:r w:rsidR="00C07E7D">
        <w:rPr>
          <w:rStyle w:val="FootnoteReference"/>
        </w:rPr>
        <w:footnoteReference w:id="47"/>
      </w:r>
      <w:r w:rsidR="00C07E7D" w:rsidRPr="00C07E7D">
        <w:t xml:space="preserve"> do</w:t>
      </w:r>
      <w:r w:rsidR="00BD1516">
        <w:t>es</w:t>
      </w:r>
      <w:r w:rsidR="00C07E7D" w:rsidRPr="00C07E7D">
        <w:t xml:space="preserve"> not change as an IT system moves to a C</w:t>
      </w:r>
      <w:r w:rsidR="00C07E7D">
        <w:t xml:space="preserve">loud </w:t>
      </w:r>
      <w:r w:rsidR="00C07E7D" w:rsidRPr="00C07E7D">
        <w:t>S</w:t>
      </w:r>
      <w:r w:rsidR="00C07E7D">
        <w:t xml:space="preserve">ervice </w:t>
      </w:r>
      <w:r w:rsidR="00C07E7D" w:rsidRPr="00C07E7D">
        <w:t>P</w:t>
      </w:r>
      <w:r w:rsidR="00C07E7D">
        <w:t>rovider</w:t>
      </w:r>
      <w:r w:rsidR="00C07E7D" w:rsidRPr="00C07E7D">
        <w:t xml:space="preserve"> environment. What</w:t>
      </w:r>
      <w:r w:rsidR="00C07E7D">
        <w:t xml:space="preserve"> does change is the way DHS Programs</w:t>
      </w:r>
      <w:r w:rsidR="00C07E7D" w:rsidRPr="00C07E7D">
        <w:t xml:space="preserve"> can ensure that they maintain control over the management of and access to records covered under the FRA, including enforcing (through contractual provisions and otherwise) a fundamental understanding on the part of C</w:t>
      </w:r>
      <w:r w:rsidR="00037DD0">
        <w:t xml:space="preserve">loud </w:t>
      </w:r>
      <w:r w:rsidR="00C07E7D" w:rsidRPr="00C07E7D">
        <w:t>S</w:t>
      </w:r>
      <w:r w:rsidR="00037DD0">
        <w:t xml:space="preserve">ervice </w:t>
      </w:r>
      <w:r w:rsidR="00C07E7D" w:rsidRPr="00C07E7D">
        <w:t>P</w:t>
      </w:r>
      <w:r w:rsidR="00037DD0">
        <w:t>rovider</w:t>
      </w:r>
      <w:r w:rsidR="00C07E7D" w:rsidRPr="00C07E7D">
        <w:t>s regarding Federal agency obligations under these laws.</w:t>
      </w:r>
      <w:r w:rsidR="00037DD0">
        <w:t xml:space="preserve">  </w:t>
      </w:r>
      <w:r w:rsidR="00037DD0" w:rsidRPr="00037DD0">
        <w:t>To enable pro</w:t>
      </w:r>
      <w:r w:rsidR="00037DD0">
        <w:t xml:space="preserve">active records planning, </w:t>
      </w:r>
      <w:r w:rsidR="0039004E">
        <w:t xml:space="preserve">DHS Components </w:t>
      </w:r>
      <w:r w:rsidR="00037DD0" w:rsidRPr="00037DD0">
        <w:t xml:space="preserve">records officers must be </w:t>
      </w:r>
      <w:r w:rsidR="0039004E">
        <w:t>included in Program records planning in the cloud early in the procurement cycle as well as</w:t>
      </w:r>
      <w:r w:rsidR="00037DD0" w:rsidRPr="00037DD0">
        <w:t xml:space="preserve"> in the subsequent transition to C</w:t>
      </w:r>
      <w:r w:rsidR="0039004E">
        <w:t xml:space="preserve">loud </w:t>
      </w:r>
      <w:r w:rsidR="00037DD0" w:rsidRPr="00037DD0">
        <w:t>S</w:t>
      </w:r>
      <w:r w:rsidR="0039004E">
        <w:t xml:space="preserve">ervice </w:t>
      </w:r>
      <w:r w:rsidR="00037DD0" w:rsidRPr="00037DD0">
        <w:t>P</w:t>
      </w:r>
      <w:r w:rsidR="0039004E">
        <w:t>rovider</w:t>
      </w:r>
      <w:r w:rsidR="00037DD0" w:rsidRPr="00037DD0">
        <w:t xml:space="preserve"> environments</w:t>
      </w:r>
      <w:r w:rsidR="0039004E">
        <w:t xml:space="preserve"> to properly plan and account for storing, migrating, disposing and/or deleting records.</w:t>
      </w:r>
    </w:p>
    <w:p w:rsidR="004A2B39" w:rsidRPr="008F109B" w:rsidRDefault="0040545F" w:rsidP="005F7FE2">
      <w:pPr>
        <w:pStyle w:val="Heading2"/>
      </w:pPr>
      <w:bookmarkStart w:id="14" w:name="_Toc475636835"/>
      <w:r>
        <w:t xml:space="preserve">Reform </w:t>
      </w:r>
      <w:r w:rsidR="004A2B39" w:rsidRPr="008F109B">
        <w:t>IT Financial, Acquisit</w:t>
      </w:r>
      <w:r>
        <w:t xml:space="preserve">ion, &amp; Contracting Policy &amp; </w:t>
      </w:r>
      <w:r w:rsidR="004A2B39" w:rsidRPr="008F109B">
        <w:t>Practices</w:t>
      </w:r>
      <w:bookmarkEnd w:id="14"/>
    </w:p>
    <w:p w:rsidR="004A2B39" w:rsidRPr="004A2B39" w:rsidRDefault="004A2B39" w:rsidP="00516291">
      <w:r>
        <w:t xml:space="preserve">Existing policies and processes that were implemented to support traditional IT acquisition hamper today’s delivery and operation of a Cloud-First approach. </w:t>
      </w:r>
      <w:proofErr w:type="gramStart"/>
      <w:r>
        <w:t>The Department’s typical acquisition approach bases investment decisions on significant investigation of capability needs, requirements definition, analysis of alternatives (</w:t>
      </w:r>
      <w:proofErr w:type="spellStart"/>
      <w:r>
        <w:t>AoA</w:t>
      </w:r>
      <w:proofErr w:type="spellEnd"/>
      <w:r>
        <w:t>), and system growth projections.</w:t>
      </w:r>
      <w:proofErr w:type="gramEnd"/>
      <w:r>
        <w:t xml:space="preserve"> This works in an environment with relatively fixed requirements, known future needs, and static technology, but does not accommodate a multi</w:t>
      </w:r>
      <w:r>
        <w:rPr>
          <w:rFonts w:ascii="Cambria Math" w:hAnsi="Cambria Math" w:cs="Cambria Math"/>
        </w:rPr>
        <w:t>‐</w:t>
      </w:r>
      <w:r>
        <w:t>provider cloud environment. The Department must alter this acquisition approach if it expects to keep pace with IT advancements and achieve the efficiencies these advancements represent. To accomplish this, the</w:t>
      </w:r>
      <w:r w:rsidR="006E5793">
        <w:t xml:space="preserve"> </w:t>
      </w:r>
      <w:r w:rsidR="0047486B">
        <w:t xml:space="preserve">DHS </w:t>
      </w:r>
      <w:r w:rsidR="003F0962">
        <w:t xml:space="preserve">ECS governance </w:t>
      </w:r>
      <w:r w:rsidR="006E5793">
        <w:t>will work with Program, Procurement, and Budget stakeholders to:</w:t>
      </w:r>
    </w:p>
    <w:p w:rsidR="00516291" w:rsidRPr="008F109B" w:rsidRDefault="00516291" w:rsidP="00742544">
      <w:pPr>
        <w:pStyle w:val="ListParagraph"/>
        <w:numPr>
          <w:ilvl w:val="0"/>
          <w:numId w:val="30"/>
        </w:numPr>
        <w:rPr>
          <w:color w:val="000000"/>
        </w:rPr>
      </w:pPr>
      <w:r w:rsidRPr="008F109B">
        <w:rPr>
          <w:b/>
          <w:i/>
        </w:rPr>
        <w:t xml:space="preserve">Streamline Key Processes </w:t>
      </w:r>
      <w:r w:rsidRPr="008F109B">
        <w:rPr>
          <w:b/>
          <w:i/>
          <w:color w:val="000000"/>
        </w:rPr>
        <w:t>to reduce Operations and Maintenance (O&amp;M)</w:t>
      </w:r>
      <w:r w:rsidRPr="008F109B">
        <w:rPr>
          <w:color w:val="000000"/>
        </w:rPr>
        <w:t xml:space="preserve"> costs by leveraging economies of scale, and automate monitoring and provisioning to reduce the human cost of service delivery and assurance.</w:t>
      </w:r>
    </w:p>
    <w:p w:rsidR="00516291" w:rsidRPr="008F109B" w:rsidRDefault="00516291" w:rsidP="00742544">
      <w:pPr>
        <w:pStyle w:val="ListParagraph"/>
        <w:numPr>
          <w:ilvl w:val="0"/>
          <w:numId w:val="30"/>
        </w:numPr>
        <w:rPr>
          <w:color w:val="000000"/>
        </w:rPr>
      </w:pPr>
      <w:r w:rsidRPr="008F109B">
        <w:rPr>
          <w:b/>
          <w:i/>
        </w:rPr>
        <w:lastRenderedPageBreak/>
        <w:t>Change Acquisition and Contracting Models</w:t>
      </w:r>
      <w:r>
        <w:t xml:space="preserve"> </w:t>
      </w:r>
      <w:r w:rsidRPr="008F109B">
        <w:rPr>
          <w:color w:val="000000"/>
        </w:rPr>
        <w:t>to reduce acquisition complexity; shift the mindset from acquiring and managing IT assets (materiel solution development) to providing and consuming services; and support new funding, contracting, and acquisition models for agile solutions.</w:t>
      </w:r>
    </w:p>
    <w:p w:rsidR="004A2B39" w:rsidRDefault="00516291" w:rsidP="00742544">
      <w:pPr>
        <w:pStyle w:val="ListParagraph"/>
        <w:numPr>
          <w:ilvl w:val="0"/>
          <w:numId w:val="30"/>
        </w:numPr>
      </w:pPr>
      <w:r w:rsidRPr="008F109B">
        <w:rPr>
          <w:b/>
          <w:i/>
        </w:rPr>
        <w:t>Publish Guidance and Policies</w:t>
      </w:r>
      <w:r>
        <w:t xml:space="preserve"> </w:t>
      </w:r>
      <w:r w:rsidRPr="008F109B">
        <w:rPr>
          <w:color w:val="000000"/>
        </w:rPr>
        <w:t>that support transition to, and use of, cloud services.</w:t>
      </w:r>
    </w:p>
    <w:p w:rsidR="008F109B" w:rsidRDefault="008F109B" w:rsidP="008F109B">
      <w:pPr>
        <w:rPr>
          <w:color w:val="231F20"/>
          <w:spacing w:val="-2"/>
        </w:rPr>
      </w:pPr>
      <w:r>
        <w:rPr>
          <w:color w:val="231F20"/>
          <w:spacing w:val="-2"/>
        </w:rPr>
        <w:t>The Enterprise IT Service Management Directive establishes the delegation authorities for IT executives as well as the approval of cloud services throughout the Department</w:t>
      </w:r>
      <w:r w:rsidR="00E9317A">
        <w:rPr>
          <w:color w:val="231F20"/>
          <w:spacing w:val="-2"/>
        </w:rPr>
        <w:t xml:space="preserve"> and will guide stakeholders in collaborating on the policy and process reforms</w:t>
      </w:r>
      <w:r>
        <w:rPr>
          <w:color w:val="231F20"/>
          <w:spacing w:val="-2"/>
        </w:rPr>
        <w:t>.</w:t>
      </w:r>
    </w:p>
    <w:p w:rsidR="004A2B39" w:rsidRPr="00B96C1F" w:rsidRDefault="003F0962" w:rsidP="00B07F82">
      <w:pPr>
        <w:pStyle w:val="Heading2"/>
      </w:pPr>
      <w:bookmarkStart w:id="15" w:name="_Toc475636836"/>
      <w:r>
        <w:t>Implement a DHS ECS</w:t>
      </w:r>
      <w:r w:rsidR="004A2B39" w:rsidRPr="00B96C1F">
        <w:t xml:space="preserve"> Outreach and Awareness Campaign</w:t>
      </w:r>
      <w:bookmarkEnd w:id="15"/>
    </w:p>
    <w:p w:rsidR="0057325C" w:rsidRPr="007F23DC" w:rsidRDefault="0057325C" w:rsidP="0057325C">
      <w:r>
        <w:t xml:space="preserve">An </w:t>
      </w:r>
      <w:r w:rsidRPr="007F23DC">
        <w:t>impediment to the succes</w:t>
      </w:r>
      <w:r w:rsidR="003F0962">
        <w:t>sful adoption of DHS ECS</w:t>
      </w:r>
      <w:r w:rsidRPr="007F23DC">
        <w:t xml:space="preserve"> is not </w:t>
      </w:r>
      <w:r>
        <w:t xml:space="preserve">just </w:t>
      </w:r>
      <w:r w:rsidRPr="007F23DC">
        <w:t xml:space="preserve">technological in nature, but rather, </w:t>
      </w:r>
      <w:r>
        <w:t xml:space="preserve">there are </w:t>
      </w:r>
      <w:r w:rsidRPr="007F23DC">
        <w:t>cultural roadblocks that make it difficult for the Department’s IT community to adopt a new technology</w:t>
      </w:r>
      <w:r>
        <w:t xml:space="preserve"> and business model</w:t>
      </w:r>
      <w:r w:rsidRPr="007F23DC">
        <w:t>. As with any significa</w:t>
      </w:r>
      <w:r w:rsidR="00436DFE">
        <w:t>nt change, the move to the DHS ECS framework</w:t>
      </w:r>
      <w:r>
        <w:t xml:space="preserve"> </w:t>
      </w:r>
      <w:r w:rsidRPr="007F23DC">
        <w:t xml:space="preserve">requires a shift in mindset to accept new ways of </w:t>
      </w:r>
      <w:r>
        <w:t>delivering</w:t>
      </w:r>
      <w:r w:rsidRPr="007F23DC">
        <w:t xml:space="preserve"> solutions and an informed workforce to enable acceptance and use of </w:t>
      </w:r>
      <w:r>
        <w:t>IT</w:t>
      </w:r>
      <w:r w:rsidRPr="007F23DC">
        <w:t xml:space="preserve"> services.</w:t>
      </w:r>
      <w:r>
        <w:t xml:space="preserve"> Implementing </w:t>
      </w:r>
      <w:r w:rsidRPr="007F23DC">
        <w:t xml:space="preserve">a </w:t>
      </w:r>
      <w:r w:rsidR="003F0962">
        <w:t>DHS ECS</w:t>
      </w:r>
      <w:r w:rsidRPr="007F23DC">
        <w:t xml:space="preserve"> outreach and awareness campaign </w:t>
      </w:r>
      <w:r>
        <w:t xml:space="preserve">is essential to </w:t>
      </w:r>
      <w:r w:rsidRPr="007F23DC">
        <w:t>gather input from major stakeholders, expand the base of consumers and providers, and increase visibility of available service</w:t>
      </w:r>
      <w:r>
        <w:t xml:space="preserve"> offerings</w:t>
      </w:r>
      <w:r w:rsidRPr="007F23DC">
        <w:t xml:space="preserve"> throughout the </w:t>
      </w:r>
      <w:r>
        <w:t>Department</w:t>
      </w:r>
      <w:r w:rsidRPr="007F23DC">
        <w:t xml:space="preserve">. </w:t>
      </w:r>
      <w:r w:rsidR="00C11D2F">
        <w:t>DHS is committed to working with Component stakeholders to implement an outreach and awareness campaign to expand the base of consumers and providers, and increase t</w:t>
      </w:r>
      <w:r w:rsidR="003F0962">
        <w:t>he visibility of available</w:t>
      </w:r>
      <w:r w:rsidR="00C11D2F">
        <w:t xml:space="preserve"> services in other parts of the Government.  </w:t>
      </w:r>
      <w:r>
        <w:t xml:space="preserve">The Department will leverage the service management framework to </w:t>
      </w:r>
      <w:r w:rsidRPr="007F23DC">
        <w:t xml:space="preserve">inform the </w:t>
      </w:r>
      <w:r>
        <w:t>stakeholders</w:t>
      </w:r>
      <w:r w:rsidRPr="007F23DC">
        <w:t xml:space="preserve"> on the key </w:t>
      </w:r>
      <w:r w:rsidR="003F0962">
        <w:t>benefits and challenges of the ECS framework</w:t>
      </w:r>
      <w:r w:rsidRPr="007F23DC">
        <w:t>, including value propositions, security features and challenges, sample mitigation strategies, training, lessons learned, and case studies. This outreach will include:</w:t>
      </w:r>
    </w:p>
    <w:p w:rsidR="0057325C" w:rsidRPr="00F45DFC" w:rsidRDefault="0057325C" w:rsidP="00742544">
      <w:pPr>
        <w:pStyle w:val="ListParagraph"/>
        <w:numPr>
          <w:ilvl w:val="0"/>
          <w:numId w:val="24"/>
        </w:numPr>
      </w:pPr>
      <w:r w:rsidRPr="00F45DFC">
        <w:t xml:space="preserve">Identifying best practices to guide stakeholders in the adoption and implementation of </w:t>
      </w:r>
      <w:r w:rsidR="00436DFE">
        <w:t>DHS ECS</w:t>
      </w:r>
      <w:r w:rsidRPr="00F45DFC">
        <w:t>, including the acquisition and provisioning process and identifying and evaluating associated compliance and legal issues;</w:t>
      </w:r>
    </w:p>
    <w:p w:rsidR="0057325C" w:rsidRPr="00F45DFC" w:rsidRDefault="0057325C" w:rsidP="00742544">
      <w:pPr>
        <w:pStyle w:val="ListParagraph"/>
        <w:numPr>
          <w:ilvl w:val="0"/>
          <w:numId w:val="24"/>
        </w:numPr>
      </w:pPr>
      <w:r w:rsidRPr="00F45DFC">
        <w:t xml:space="preserve">Establishing methodologies to enable effective assessment and implementation of </w:t>
      </w:r>
      <w:r w:rsidR="00436DFE">
        <w:t>DHS ECS</w:t>
      </w:r>
      <w:r w:rsidRPr="00F45DFC">
        <w:t>, including consideration of maturity, cost recovery, security compliance, etc.;</w:t>
      </w:r>
    </w:p>
    <w:p w:rsidR="0057325C" w:rsidRPr="00F45DFC" w:rsidRDefault="0057325C" w:rsidP="00742544">
      <w:pPr>
        <w:pStyle w:val="ListParagraph"/>
        <w:numPr>
          <w:ilvl w:val="0"/>
          <w:numId w:val="24"/>
        </w:numPr>
      </w:pPr>
      <w:r w:rsidRPr="00F45DFC">
        <w:t>Identifying challenges and recommending mitigations to resolve them; and,</w:t>
      </w:r>
    </w:p>
    <w:p w:rsidR="0057325C" w:rsidRPr="00F45DFC" w:rsidRDefault="0057325C" w:rsidP="00742544">
      <w:pPr>
        <w:pStyle w:val="ListParagraph"/>
        <w:numPr>
          <w:ilvl w:val="0"/>
          <w:numId w:val="24"/>
        </w:numPr>
      </w:pPr>
      <w:r w:rsidRPr="00F45DFC">
        <w:t xml:space="preserve">Establishing metrics and associated performance measures demonstrating successful migrations to, and continued service quality, of </w:t>
      </w:r>
      <w:r w:rsidR="00436DFE">
        <w:t>DHS ECS</w:t>
      </w:r>
      <w:r w:rsidRPr="00F45DFC">
        <w:t>.</w:t>
      </w:r>
    </w:p>
    <w:p w:rsidR="0057325C" w:rsidRDefault="0057325C" w:rsidP="0057325C">
      <w:r>
        <w:t xml:space="preserve">Adopting </w:t>
      </w:r>
      <w:r w:rsidR="003F0962">
        <w:t>DHS ECS w</w:t>
      </w:r>
      <w:r>
        <w:t>ill reduce acquisition and maintenance of dedicated, program-specific resources.  The desired outcome is the transformation that will yield higher flexibility, lower costs, and improved quality of service through effective governance, reformed financial, acquisition, and contracting, and improved communications.</w:t>
      </w:r>
      <w:r w:rsidR="00CA5B7F">
        <w:t xml:space="preserve">  </w:t>
      </w:r>
    </w:p>
    <w:p w:rsidR="00AE5935" w:rsidRDefault="00AE5935" w:rsidP="00AE5935">
      <w:pPr>
        <w:pStyle w:val="Heading2"/>
      </w:pPr>
      <w:bookmarkStart w:id="16" w:name="_Toc475636837"/>
      <w:r>
        <w:t xml:space="preserve">Optimize the Delivery of </w:t>
      </w:r>
      <w:r w:rsidR="00D8197B">
        <w:t xml:space="preserve">Secure </w:t>
      </w:r>
      <w:r w:rsidR="003F0962">
        <w:t xml:space="preserve">Multi-provider </w:t>
      </w:r>
      <w:r>
        <w:t>Services</w:t>
      </w:r>
      <w:bookmarkEnd w:id="16"/>
    </w:p>
    <w:p w:rsidR="00A265B0" w:rsidRDefault="00D8197B" w:rsidP="00A265B0">
      <w:r>
        <w:t xml:space="preserve">As stated in the DHS IT Strategic Plan Goal 3 the Department seeks to establish a model for continuous process improvement that enables transparent data driven decisions and rapidly deliver high quality IT capabilities.  Additionally, Goal 4 seeks to empower DHS and its partners to operate secure IT systems and networks, keeping ahead of evolving cyber threats.   </w:t>
      </w:r>
      <w:r w:rsidR="0051768B" w:rsidRPr="00130E8C">
        <w:t xml:space="preserve">The Department </w:t>
      </w:r>
      <w:r w:rsidR="0051768B">
        <w:t>is</w:t>
      </w:r>
      <w:r w:rsidR="0051768B" w:rsidRPr="00130E8C">
        <w:t xml:space="preserve"> responsible for the </w:t>
      </w:r>
      <w:r w:rsidR="0051768B">
        <w:t>service architecture</w:t>
      </w:r>
      <w:r w:rsidR="0051768B" w:rsidRPr="00130E8C">
        <w:t xml:space="preserve"> and standards that guide </w:t>
      </w:r>
      <w:r w:rsidR="0051768B">
        <w:t xml:space="preserve">and inform </w:t>
      </w:r>
      <w:r w:rsidR="00436DFE">
        <w:t>how</w:t>
      </w:r>
      <w:r w:rsidR="0051768B">
        <w:t xml:space="preserve"> cloud computing technologies are</w:t>
      </w:r>
      <w:r w:rsidR="0051768B" w:rsidRPr="00130E8C">
        <w:t xml:space="preserve"> designed, operated, and consumed</w:t>
      </w:r>
      <w:r w:rsidR="0051768B">
        <w:t xml:space="preserve"> within the DHS enterprise</w:t>
      </w:r>
      <w:r w:rsidR="0051768B" w:rsidRPr="00130E8C">
        <w:t xml:space="preserve">. </w:t>
      </w:r>
      <w:r w:rsidR="0051768B">
        <w:t xml:space="preserve">The vision for the </w:t>
      </w:r>
      <w:r w:rsidR="0051768B">
        <w:lastRenderedPageBreak/>
        <w:t xml:space="preserve">Department is a multi-provider enterprise computing environment that meets DHS IT objectives.  Program managers and application/service owners will not need to design the physical infrastructure that hosts and runs their software applications.  Instead, they will be responsible for deploying applications and services that conform to the established </w:t>
      </w:r>
      <w:r w:rsidR="00C446A3">
        <w:t xml:space="preserve">service </w:t>
      </w:r>
      <w:r w:rsidR="0051768B">
        <w:t>architecture standards</w:t>
      </w:r>
    </w:p>
    <w:p w:rsidR="00F51965" w:rsidRDefault="00A265B0" w:rsidP="00FA0B70">
      <w:r>
        <w:t xml:space="preserve">To meet the objectives identified above, the DHS </w:t>
      </w:r>
      <w:r w:rsidR="00436DFE">
        <w:t xml:space="preserve">ECS </w:t>
      </w:r>
      <w:r w:rsidRPr="00130E8C">
        <w:t>architecture standards will</w:t>
      </w:r>
      <w:r>
        <w:t xml:space="preserve"> need to evolve in order to </w:t>
      </w:r>
      <w:r w:rsidRPr="00130E8C">
        <w:t>extend the full range of IT services</w:t>
      </w:r>
      <w:r>
        <w:t xml:space="preserve">.  The </w:t>
      </w:r>
      <w:r w:rsidR="0073678C">
        <w:t xml:space="preserve">NIST Cloud Computing Reference </w:t>
      </w:r>
      <w:r w:rsidR="00BD1516">
        <w:t>Architecture</w:t>
      </w:r>
      <w:r w:rsidR="0073678C">
        <w:t xml:space="preserve"> and the NIST Cloud Computing Standards Roadmap will guide th</w:t>
      </w:r>
      <w:r w:rsidR="00C446A3">
        <w:t>e Departments approach to cloud</w:t>
      </w:r>
      <w:r w:rsidRPr="00130E8C">
        <w:t xml:space="preserve">. Leveraging the NIST guidance, </w:t>
      </w:r>
      <w:r w:rsidR="0073678C">
        <w:t xml:space="preserve">the Department will develop </w:t>
      </w:r>
      <w:r w:rsidRPr="00130E8C">
        <w:t xml:space="preserve">a </w:t>
      </w:r>
      <w:r w:rsidR="0073678C">
        <w:t xml:space="preserve">series of relevant </w:t>
      </w:r>
      <w:r w:rsidRPr="00130E8C">
        <w:t>D</w:t>
      </w:r>
      <w:r>
        <w:t>HS</w:t>
      </w:r>
      <w:r w:rsidRPr="00130E8C">
        <w:t xml:space="preserve"> </w:t>
      </w:r>
      <w:r w:rsidR="0073678C">
        <w:t>r</w:t>
      </w:r>
      <w:r w:rsidRPr="00130E8C">
        <w:t xml:space="preserve">eference </w:t>
      </w:r>
      <w:r w:rsidR="0073678C">
        <w:t>a</w:t>
      </w:r>
      <w:r w:rsidRPr="00130E8C">
        <w:t>rchitecture</w:t>
      </w:r>
      <w:r w:rsidR="0073678C">
        <w:t>s</w:t>
      </w:r>
      <w:r w:rsidRPr="00130E8C">
        <w:t xml:space="preserve"> </w:t>
      </w:r>
      <w:r w:rsidR="0073678C">
        <w:t>to guide the</w:t>
      </w:r>
      <w:r>
        <w:t xml:space="preserve"> d</w:t>
      </w:r>
      <w:r w:rsidRPr="00130E8C">
        <w:t>evelop</w:t>
      </w:r>
      <w:r w:rsidR="0073678C">
        <w:t>ment of</w:t>
      </w:r>
      <w:r w:rsidRPr="00130E8C">
        <w:t xml:space="preserve"> technical and solution architectures to influence/facilitate th</w:t>
      </w:r>
      <w:r w:rsidR="00436DFE">
        <w:t>e delivery and adoption of DHS ECS</w:t>
      </w:r>
      <w:r w:rsidR="0073678C">
        <w:t xml:space="preserve"> </w:t>
      </w:r>
      <w:r>
        <w:t>capabilities</w:t>
      </w:r>
      <w:r w:rsidR="0073678C">
        <w:t xml:space="preserve">.  </w:t>
      </w:r>
    </w:p>
    <w:p w:rsidR="0064234D" w:rsidRDefault="0064234D" w:rsidP="0064234D">
      <w:r>
        <w:t>In order to optimize t</w:t>
      </w:r>
      <w:r w:rsidR="00436DFE">
        <w:t>he delivery of secure multi-provider DHS ECS,</w:t>
      </w:r>
      <w:r>
        <w:t xml:space="preserve"> the department is adopting and implementing a limited set of standardized authentication, access management, and information sharing services that will enable effective management as an enterprise with a reduced intrusion surface for cyber threats.  Some of these capabilities:</w:t>
      </w:r>
    </w:p>
    <w:p w:rsidR="0064234D" w:rsidRDefault="0064234D" w:rsidP="00742544">
      <w:pPr>
        <w:pStyle w:val="ListParagraph"/>
        <w:numPr>
          <w:ilvl w:val="0"/>
          <w:numId w:val="31"/>
        </w:numPr>
      </w:pPr>
      <w:r>
        <w:t>Ensuring compliance with DHS Cyber requirements for encryption and key management integration with DHS’s emerging ICAM services.</w:t>
      </w:r>
    </w:p>
    <w:p w:rsidR="0064234D" w:rsidRDefault="0064234D" w:rsidP="00742544">
      <w:pPr>
        <w:pStyle w:val="ListParagraph"/>
        <w:numPr>
          <w:ilvl w:val="0"/>
          <w:numId w:val="31"/>
        </w:numPr>
      </w:pPr>
      <w:r>
        <w:t>Enabling integrated cyber intrusion detection and response.</w:t>
      </w:r>
    </w:p>
    <w:p w:rsidR="0064234D" w:rsidRDefault="0064234D" w:rsidP="00742544">
      <w:pPr>
        <w:pStyle w:val="ListParagraph"/>
        <w:numPr>
          <w:ilvl w:val="0"/>
          <w:numId w:val="31"/>
        </w:numPr>
      </w:pPr>
      <w:r>
        <w:t>Providing integrated identity and access management controls and in</w:t>
      </w:r>
      <w:r w:rsidR="003F0962">
        <w:t xml:space="preserve">tegration </w:t>
      </w:r>
      <w:r>
        <w:t>with DHS’s emerging ICAM services</w:t>
      </w:r>
    </w:p>
    <w:p w:rsidR="0064234D" w:rsidRDefault="0064234D" w:rsidP="00742544">
      <w:pPr>
        <w:pStyle w:val="ListParagraph"/>
        <w:numPr>
          <w:ilvl w:val="0"/>
          <w:numId w:val="31"/>
        </w:numPr>
      </w:pPr>
      <w:r>
        <w:t>Maintaining configuration baseline of DHS resources deployed into the cloud</w:t>
      </w:r>
    </w:p>
    <w:p w:rsidR="0064234D" w:rsidRDefault="0064234D" w:rsidP="00742544">
      <w:pPr>
        <w:pStyle w:val="ListParagraph"/>
        <w:numPr>
          <w:ilvl w:val="0"/>
          <w:numId w:val="31"/>
        </w:numPr>
      </w:pPr>
      <w:r>
        <w:t>Enabling continuous monitoring and reporting on performance SLAs and Cyber controls</w:t>
      </w:r>
    </w:p>
    <w:p w:rsidR="0064234D" w:rsidRPr="0064234D" w:rsidRDefault="0017720A" w:rsidP="00FA0B70">
      <w:pPr>
        <w:rPr>
          <w:b/>
          <w:i/>
        </w:rPr>
      </w:pPr>
      <w:r>
        <w:rPr>
          <w:b/>
          <w:i/>
        </w:rPr>
        <w:t>Data as a Service (</w:t>
      </w:r>
      <w:proofErr w:type="spellStart"/>
      <w:r>
        <w:rPr>
          <w:b/>
          <w:i/>
        </w:rPr>
        <w:t>DaaS</w:t>
      </w:r>
      <w:proofErr w:type="spellEnd"/>
      <w:r>
        <w:rPr>
          <w:b/>
          <w:i/>
        </w:rPr>
        <w:t>)</w:t>
      </w:r>
    </w:p>
    <w:p w:rsidR="00E50074" w:rsidRDefault="0017720A" w:rsidP="00FA0B70">
      <w:r>
        <w:t xml:space="preserve">Because of the huge impact that cloud computing can deliver to improve DHS data and information management, the DHS </w:t>
      </w:r>
      <w:r w:rsidR="003F0962">
        <w:t>ECS</w:t>
      </w:r>
      <w:r>
        <w:t xml:space="preserve"> diverges from NIST cloud services model definitions to uniquely identify </w:t>
      </w:r>
      <w:proofErr w:type="spellStart"/>
      <w:r>
        <w:t>DaaS</w:t>
      </w:r>
      <w:proofErr w:type="spellEnd"/>
      <w:r>
        <w:t xml:space="preserve">.  </w:t>
      </w:r>
      <w:r w:rsidR="00634B46">
        <w:t xml:space="preserve">DHS ECS </w:t>
      </w:r>
      <w:proofErr w:type="spellStart"/>
      <w:r>
        <w:t>DaaS</w:t>
      </w:r>
      <w:proofErr w:type="spellEnd"/>
      <w:r>
        <w:t xml:space="preserve"> encompasses two primary activities.  The first is the continued implementation of the DHS Data Strategy and deployment of standardized data interfaces that make DHS information visible and accessible to all authorized users.  The second is the incorporation of emerging “big data” technologies and approaches to effectively manage </w:t>
      </w:r>
      <w:r w:rsidR="00E50074">
        <w:t>rapidly increasing amounts of information and deliver new insights and actionable information.</w:t>
      </w:r>
      <w:r w:rsidR="003F0962">
        <w:t xml:space="preserve"> </w:t>
      </w:r>
      <w:r w:rsidR="00E50074">
        <w:t xml:space="preserve">As the volumes of unstructured and structured data sets proliferate, our ability to capture and effectively process this information has not kept pace using traditional data management technologies.  </w:t>
      </w:r>
      <w:r w:rsidR="003F0962">
        <w:t xml:space="preserve">DHS ECS </w:t>
      </w:r>
      <w:proofErr w:type="spellStart"/>
      <w:r w:rsidR="003F0962">
        <w:t>DaaS</w:t>
      </w:r>
      <w:proofErr w:type="spellEnd"/>
      <w:r w:rsidR="00E50074">
        <w:t xml:space="preserve"> technologies and parallel computing clusters provide new capabilities to manage large, diverse data sets, enable new data transformation methods a</w:t>
      </w:r>
      <w:r w:rsidR="00886232">
        <w:t xml:space="preserve">nd enable advanced analytics.  </w:t>
      </w:r>
    </w:p>
    <w:p w:rsidR="00546623" w:rsidRDefault="00546623" w:rsidP="00546623">
      <w:pPr>
        <w:pStyle w:val="Heading2"/>
      </w:pPr>
      <w:bookmarkStart w:id="17" w:name="_Toc475636838"/>
      <w:r>
        <w:t xml:space="preserve">Guide the Transition to </w:t>
      </w:r>
      <w:r w:rsidR="00634B46">
        <w:t>DHS ECS</w:t>
      </w:r>
      <w:bookmarkEnd w:id="17"/>
    </w:p>
    <w:p w:rsidR="00077D73" w:rsidRDefault="00077D73" w:rsidP="00077D73">
      <w:r>
        <w:t>The Department will build on its enterprise services efforts and continue to deliver cloud services that provided improved IT capabilities at reduced costs.  Components are encouraged to use Enterprise Services, Shared Services, and commercial vendors that meet their specific mission requirements.  That being said there are a number of potential approaches to cloud-based service adoption each of which triggers different responses and results.</w:t>
      </w:r>
    </w:p>
    <w:p w:rsidR="00546623" w:rsidRDefault="00B07F82" w:rsidP="00546623">
      <w:r>
        <w:t xml:space="preserve">In order to ensure that cloud adoption and migration is a repeatable and predictable process the department will develop a </w:t>
      </w:r>
      <w:r w:rsidR="00634B46">
        <w:t>DHS ECS</w:t>
      </w:r>
      <w:r w:rsidR="00546623">
        <w:t xml:space="preserve"> </w:t>
      </w:r>
      <w:r w:rsidR="00077D73">
        <w:t>Guide as a reference fra</w:t>
      </w:r>
      <w:r>
        <w:t xml:space="preserve">mework </w:t>
      </w:r>
      <w:r w:rsidR="00077D73">
        <w:t>to</w:t>
      </w:r>
      <w:r>
        <w:t xml:space="preserve"> guide project teams to </w:t>
      </w:r>
      <w:r>
        <w:lastRenderedPageBreak/>
        <w:t xml:space="preserve">minimize risk and maximize value. </w:t>
      </w:r>
      <w:r w:rsidR="00851105">
        <w:t xml:space="preserve"> The DHS </w:t>
      </w:r>
      <w:r w:rsidR="00634B46">
        <w:t>ECS</w:t>
      </w:r>
      <w:r w:rsidR="00851105">
        <w:t xml:space="preserve"> Guide sets out the steps necessary for to migrate workloads to a cloud-computing environment.</w:t>
      </w:r>
    </w:p>
    <w:p w:rsidR="0034564D" w:rsidRDefault="00546623" w:rsidP="00546623">
      <w:r>
        <w:t xml:space="preserve">Governance, architectural, technical and funding challenges become increasing magnified while deploying cloud solutions in an enterprise as large and complex as DHS.  Ensuring that DHS mission needs are met and enhanced hinges on having a solid yet flexible strategy that informs trade space decision making and an architecture that addresses unique operational requirements.  </w:t>
      </w:r>
    </w:p>
    <w:p w:rsidR="0034564D" w:rsidRDefault="0034564D" w:rsidP="0034564D">
      <w:pPr>
        <w:pStyle w:val="Heading1"/>
      </w:pPr>
      <w:bookmarkStart w:id="18" w:name="_Toc475636839"/>
      <w:r>
        <w:t>Measuring the Benefits</w:t>
      </w:r>
      <w:bookmarkEnd w:id="18"/>
    </w:p>
    <w:p w:rsidR="00D646E7" w:rsidRDefault="0034564D" w:rsidP="00546623">
      <w:r w:rsidRPr="0040545F">
        <w:t>“Governance” is the strategic task of setting the organization’s goals and direction, specifying limitations, and establishing</w:t>
      </w:r>
      <w:r w:rsidR="00BE005C">
        <w:t xml:space="preserve"> an accountability framework. </w:t>
      </w:r>
      <w:r w:rsidRPr="0040545F">
        <w:t>In contrast, “management” is the allocation of resources and overseeing day-to-day operations of the organization.</w:t>
      </w:r>
      <w:r>
        <w:t xml:space="preserve">  As the department begins to execute the strategy through governance</w:t>
      </w:r>
      <w:r w:rsidR="007F7EDA">
        <w:t>, evolving</w:t>
      </w:r>
      <w:r w:rsidR="00D646E7">
        <w:t xml:space="preserve"> OMB</w:t>
      </w:r>
      <w:r w:rsidR="007F7EDA">
        <w:t xml:space="preserve"> data collection and reporting requirements will guide </w:t>
      </w:r>
      <w:r w:rsidR="00794612">
        <w:t>decisions to</w:t>
      </w:r>
      <w:r>
        <w:t xml:space="preserve"> measure, monitor, and report the scale of adoption to identify progress towards the realized benefits.  </w:t>
      </w:r>
      <w:r w:rsidR="00D646E7">
        <w:t>At a minimum, Programs incorporating cloud computing solutions into their systems and services will ensure they have incorporated methods and tools to measure progres</w:t>
      </w:r>
      <w:r w:rsidR="00C91F39">
        <w:t>s in the following</w:t>
      </w:r>
      <w:r w:rsidR="00D646E7">
        <w:t xml:space="preserve"> focus areas.</w:t>
      </w:r>
    </w:p>
    <w:p w:rsidR="00B76B58" w:rsidRDefault="00D646E7" w:rsidP="00742544">
      <w:pPr>
        <w:pStyle w:val="ListParagraph"/>
        <w:numPr>
          <w:ilvl w:val="0"/>
          <w:numId w:val="35"/>
        </w:numPr>
      </w:pPr>
      <w:r>
        <w:t xml:space="preserve">Standardized Cost Savings within the Programs IT Portfolio:  DHS governance will communicate the level(s) (i.e., investment, program, project, application, system) at which </w:t>
      </w:r>
      <w:r w:rsidR="00116A97">
        <w:t xml:space="preserve">Programs will establish data collections </w:t>
      </w:r>
      <w:r>
        <w:t xml:space="preserve">to address savings and cost avoidance due to transition to </w:t>
      </w:r>
      <w:r w:rsidR="00B84E45">
        <w:t>DHS ECS</w:t>
      </w:r>
      <w:r>
        <w:t xml:space="preserve"> solutions and services</w:t>
      </w:r>
      <w:r w:rsidR="00116A97">
        <w:t>. Programs will</w:t>
      </w:r>
      <w:r>
        <w:t xml:space="preserve"> </w:t>
      </w:r>
      <w:r w:rsidR="00116A97">
        <w:t>use</w:t>
      </w:r>
      <w:r>
        <w:t xml:space="preserve"> the definition</w:t>
      </w:r>
      <w:r w:rsidR="00116A97">
        <w:t>s provided in OMB guidance</w:t>
      </w:r>
      <w:r w:rsidR="00116A97">
        <w:rPr>
          <w:rStyle w:val="FootnoteReference"/>
        </w:rPr>
        <w:footnoteReference w:id="48"/>
      </w:r>
      <w:r w:rsidR="005E2714">
        <w:t xml:space="preserve"> to identify appropriate supporting data as well as regularly collect, track and report both realized and projected</w:t>
      </w:r>
      <w:r w:rsidR="00116A97">
        <w:t xml:space="preserve"> cost savings</w:t>
      </w:r>
      <w:r w:rsidR="005E2714">
        <w:t xml:space="preserve"> </w:t>
      </w:r>
      <w:r w:rsidR="00116A97">
        <w:t>and cost avoidance.</w:t>
      </w:r>
      <w:r w:rsidR="005E2714">
        <w:t xml:space="preserve">  Programs will include</w:t>
      </w:r>
      <w:r w:rsidR="006E33F1">
        <w:t xml:space="preserve"> explanations and justifications of</w:t>
      </w:r>
      <w:r w:rsidR="005E2714">
        <w:t xml:space="preserve"> success or failure to achieve projected savings goals as a factor </w:t>
      </w:r>
      <w:r w:rsidR="006E33F1">
        <w:t xml:space="preserve">in presentation of IT budget requests, as an indicator of delivering value, as </w:t>
      </w:r>
      <w:r w:rsidR="006E33F1">
        <w:lastRenderedPageBreak/>
        <w:t xml:space="preserve">a factor in root cause analyses, and </w:t>
      </w:r>
      <w:r w:rsidR="004B3C4F">
        <w:t xml:space="preserve">as a prerequisite </w:t>
      </w:r>
      <w:r w:rsidR="006E33F1">
        <w:t>to b</w:t>
      </w:r>
      <w:r w:rsidR="004B3C4F">
        <w:t xml:space="preserve">e evaluated prior to </w:t>
      </w:r>
      <w:r w:rsidR="006E33F1">
        <w:t>acquisition review and approval.</w:t>
      </w:r>
    </w:p>
    <w:p w:rsidR="00C03D64" w:rsidRDefault="006E33F1" w:rsidP="00742544">
      <w:pPr>
        <w:pStyle w:val="ListParagraph"/>
        <w:numPr>
          <w:ilvl w:val="0"/>
          <w:numId w:val="35"/>
        </w:numPr>
      </w:pPr>
      <w:r>
        <w:t>Performa</w:t>
      </w:r>
      <w:r w:rsidR="004B3C4F">
        <w:t>nce I</w:t>
      </w:r>
      <w:r>
        <w:t>ndicators:  Programs will identif</w:t>
      </w:r>
      <w:r w:rsidR="00B76B58">
        <w:t>y measurable indicators of</w:t>
      </w:r>
      <w:r>
        <w:t xml:space="preserve"> computing solutions and </w:t>
      </w:r>
      <w:r w:rsidR="004B3C4F">
        <w:t>services performance</w:t>
      </w:r>
      <w:r>
        <w:t xml:space="preserve"> which will </w:t>
      </w:r>
      <w:r w:rsidR="00C91F39">
        <w:t xml:space="preserve">be subject to DHS CIO </w:t>
      </w:r>
      <w:r>
        <w:t>leadership review and approval.  Programs will include explanations and justification of success or failure to achieve performance goals as a factor in presentation of IT budget requests, as an indicator of delivering value, as a factor in root</w:t>
      </w:r>
      <w:r w:rsidR="004B3C4F">
        <w:t xml:space="preserve"> cause analyses, and as a prerequisite</w:t>
      </w:r>
      <w:r>
        <w:t xml:space="preserve"> to be evaluated</w:t>
      </w:r>
      <w:r w:rsidR="004B3C4F">
        <w:t xml:space="preserve"> prior to acquisition review and approval.</w:t>
      </w:r>
    </w:p>
    <w:p w:rsidR="00C03D64" w:rsidRDefault="00C03D64" w:rsidP="00742544">
      <w:pPr>
        <w:pStyle w:val="ListParagraph"/>
        <w:numPr>
          <w:ilvl w:val="1"/>
          <w:numId w:val="35"/>
        </w:numPr>
      </w:pPr>
      <w:r>
        <w:t xml:space="preserve">The following Key Performance Indicators (KPIs) will be used to control and measure aspects of </w:t>
      </w:r>
      <w:r w:rsidR="00B84E45">
        <w:t>DHS ECS</w:t>
      </w:r>
      <w:r>
        <w:t xml:space="preserve"> servi</w:t>
      </w:r>
      <w:r w:rsidR="00B84E45">
        <w:t xml:space="preserve">ce integration, delivery, and </w:t>
      </w:r>
      <w:r>
        <w:t>service adoption.  As the d</w:t>
      </w:r>
      <w:r w:rsidR="00B84E45">
        <w:t>epartment progresses towards DHS ECS</w:t>
      </w:r>
      <w:r>
        <w:t xml:space="preserve"> goals it may add and/or adjust the KPIs.  The KPI framework will describe a KPI statement, calculation, suggested targets, if within tar</w:t>
      </w:r>
      <w:r w:rsidR="00B84E45">
        <w:t>gets, and if below targets.</w:t>
      </w:r>
    </w:p>
    <w:p w:rsidR="00C03D64" w:rsidRDefault="00C03D64" w:rsidP="00742544">
      <w:pPr>
        <w:pStyle w:val="ListParagraph"/>
        <w:numPr>
          <w:ilvl w:val="2"/>
          <w:numId w:val="35"/>
        </w:numPr>
      </w:pPr>
      <w:r>
        <w:t>Service Availability</w:t>
      </w:r>
    </w:p>
    <w:p w:rsidR="00C03D64" w:rsidRDefault="00C03D64" w:rsidP="00742544">
      <w:pPr>
        <w:pStyle w:val="ListParagraph"/>
        <w:numPr>
          <w:ilvl w:val="2"/>
          <w:numId w:val="35"/>
        </w:numPr>
      </w:pPr>
      <w:r>
        <w:t>The speed/timeliness of execution</w:t>
      </w:r>
    </w:p>
    <w:p w:rsidR="00C03D64" w:rsidRDefault="00C03D64" w:rsidP="00742544">
      <w:pPr>
        <w:pStyle w:val="ListParagraph"/>
        <w:numPr>
          <w:ilvl w:val="2"/>
          <w:numId w:val="35"/>
        </w:numPr>
      </w:pPr>
      <w:r>
        <w:t>Accuracy of Service Execution</w:t>
      </w:r>
    </w:p>
    <w:p w:rsidR="00C03D64" w:rsidRDefault="00C03D64" w:rsidP="00742544">
      <w:pPr>
        <w:pStyle w:val="ListParagraph"/>
        <w:numPr>
          <w:ilvl w:val="2"/>
          <w:numId w:val="35"/>
        </w:numPr>
      </w:pPr>
      <w:r>
        <w:t>Legal/regulatory compliance of service output(s)</w:t>
      </w:r>
    </w:p>
    <w:p w:rsidR="00C03D64" w:rsidRDefault="00C03D64" w:rsidP="00742544">
      <w:pPr>
        <w:pStyle w:val="ListParagraph"/>
        <w:numPr>
          <w:ilvl w:val="2"/>
          <w:numId w:val="35"/>
        </w:numPr>
      </w:pPr>
      <w:r>
        <w:t>Cost of service execution</w:t>
      </w:r>
    </w:p>
    <w:p w:rsidR="00C03D64" w:rsidRDefault="00B84E45" w:rsidP="00742544">
      <w:pPr>
        <w:pStyle w:val="ListParagraph"/>
        <w:numPr>
          <w:ilvl w:val="2"/>
          <w:numId w:val="35"/>
        </w:numPr>
      </w:pPr>
      <w:r>
        <w:t>S</w:t>
      </w:r>
      <w:r w:rsidR="00C03D64">
        <w:t>ubscriber satisfaction</w:t>
      </w:r>
    </w:p>
    <w:p w:rsidR="00C03D64" w:rsidRDefault="00B84E45" w:rsidP="00742544">
      <w:pPr>
        <w:pStyle w:val="ListParagraph"/>
        <w:numPr>
          <w:ilvl w:val="2"/>
          <w:numId w:val="35"/>
        </w:numPr>
      </w:pPr>
      <w:r>
        <w:t>S</w:t>
      </w:r>
      <w:r w:rsidR="00C03D64">
        <w:t>ervice execution business ratio</w:t>
      </w:r>
    </w:p>
    <w:p w:rsidR="00C03D64" w:rsidRDefault="00C03D64" w:rsidP="00742544">
      <w:pPr>
        <w:pStyle w:val="ListParagraph"/>
        <w:numPr>
          <w:ilvl w:val="2"/>
          <w:numId w:val="35"/>
        </w:numPr>
      </w:pPr>
      <w:r>
        <w:t>Workforce development in the context of cloud-based services</w:t>
      </w:r>
    </w:p>
    <w:p w:rsidR="004B3C4F" w:rsidRDefault="004B3C4F" w:rsidP="00742544">
      <w:pPr>
        <w:pStyle w:val="ListParagraph"/>
        <w:numPr>
          <w:ilvl w:val="0"/>
          <w:numId w:val="35"/>
        </w:numPr>
      </w:pPr>
      <w:r>
        <w:t>Project Delivery Indicators:  Programs will maintain accurate and up to date CPIC reporting of project delivery relative to available budgets and projected schedules. Programs will include explanations and justification of success or failure to achieve project delivery on budget and on schedule as a factor in presentation of IT budget requests, as an indicator of delivering value, as a factor in root cause analyses, and as a prerequisite to be evaluated prior to acquisition review and approval.</w:t>
      </w:r>
    </w:p>
    <w:p w:rsidR="004B3C4F" w:rsidRDefault="004B3C4F" w:rsidP="00742544">
      <w:pPr>
        <w:pStyle w:val="ListParagraph"/>
        <w:numPr>
          <w:ilvl w:val="0"/>
          <w:numId w:val="35"/>
        </w:numPr>
      </w:pPr>
      <w:r>
        <w:t>World Class Customer Service:  Programs will ensure that measurable indicators of the success or failure of customer service are maintained and available to be reported at all times.  Programs will include explanations and justification of customer service success or failure as a factor in presentation of IT budget requests, as an indicator of delivering value, as a factor in root cause analyses, and as a prerequisite to be evaluated prior to acquisition review and approval.</w:t>
      </w:r>
    </w:p>
    <w:p w:rsidR="000E16EA" w:rsidRDefault="004B3C4F" w:rsidP="00742544">
      <w:pPr>
        <w:pStyle w:val="ListParagraph"/>
        <w:numPr>
          <w:ilvl w:val="0"/>
          <w:numId w:val="35"/>
        </w:numPr>
      </w:pPr>
      <w:r>
        <w:t xml:space="preserve">Alignment of </w:t>
      </w:r>
      <w:r w:rsidR="00B84E45">
        <w:t>Enterprise Computing Methods/Sources</w:t>
      </w:r>
      <w:r>
        <w:t xml:space="preserve"> to the </w:t>
      </w:r>
      <w:r w:rsidR="00282FA8">
        <w:t>Long Term M</w:t>
      </w:r>
      <w:r>
        <w:t xml:space="preserve">ission of the IT Portfolio - </w:t>
      </w:r>
      <w:r w:rsidR="000E16EA">
        <w:t>Programs will alig</w:t>
      </w:r>
      <w:r w:rsidR="00B84E45">
        <w:t>n measurable indicators of enterprise</w:t>
      </w:r>
      <w:r w:rsidR="000E16EA">
        <w:t xml:space="preserve"> computing solutions and services performance to the long term Portfolio mission. Programs will include explanations and justification of success or failure of this alignment to improve the long term mission as a factor in presentation of IT budget requests, as an indicator of delivering value, as a factor in root cause analyses, and as a prerequisite to be evaluated prior to acquisition review and approval.</w:t>
      </w:r>
    </w:p>
    <w:p w:rsidR="000E16EA" w:rsidRDefault="000E16EA" w:rsidP="00742544">
      <w:pPr>
        <w:pStyle w:val="ListParagraph"/>
        <w:numPr>
          <w:ilvl w:val="0"/>
          <w:numId w:val="35"/>
        </w:numPr>
      </w:pPr>
      <w:r>
        <w:lastRenderedPageBreak/>
        <w:t xml:space="preserve">Shared Service Delivery – Programs will identify shared services spending in all IT budgets and uniquely </w:t>
      </w:r>
      <w:r w:rsidR="00B84E45">
        <w:t>identify such spending for enterprise</w:t>
      </w:r>
      <w:r>
        <w:t xml:space="preserve"> computing solutions and services.  Programs will include explanations and justification of success or failure shared service delivery as a factor in presentation of IT budget requests, as an indicator of delivering value, as a factor in root cause analyses, and as a prerequisite to be evaluated prior to acquisition review and approval.</w:t>
      </w:r>
    </w:p>
    <w:p w:rsidR="000E16EA" w:rsidRDefault="000E16EA" w:rsidP="00742544">
      <w:pPr>
        <w:pStyle w:val="ListParagraph"/>
        <w:numPr>
          <w:ilvl w:val="0"/>
          <w:numId w:val="35"/>
        </w:numPr>
      </w:pPr>
      <w:r>
        <w:t>Potential Duplication and Waste – Programs will flag indicators of potential or actual duplication and waste if they fail to achieve projected savings, performance, and/or shared service delivery goals.  Programs will include explanations of duplication and waste as a factor in presentation of IT budget requests, as an indicator of delivering value, as a factor in root cause analyses, and as a prerequisite to be evaluated prior to acquisition review and approval.</w:t>
      </w:r>
    </w:p>
    <w:p w:rsidR="00C919B4" w:rsidRDefault="00C919B4" w:rsidP="00742544">
      <w:pPr>
        <w:pStyle w:val="ListParagraph"/>
        <w:numPr>
          <w:ilvl w:val="0"/>
          <w:numId w:val="35"/>
        </w:numPr>
      </w:pPr>
      <w:r>
        <w:t>Federal Data Center Optimization Initiative (DCOI) – Programs will report quarter</w:t>
      </w:r>
      <w:r w:rsidR="00C91F39">
        <w:t>ly to the DHS CIO</w:t>
      </w:r>
      <w:r>
        <w:t xml:space="preserve"> Lead regarding DCOI metrics.  Programs will include DCOI metrics in presentation of IT budget requests, as an indicator of delivering value, as a factor in root cause analyses, and as a prerequisite to be evaluated prior to acquisition review and approval.</w:t>
      </w:r>
    </w:p>
    <w:p w:rsidR="00C919B4" w:rsidRDefault="00C919B4" w:rsidP="00742544">
      <w:pPr>
        <w:pStyle w:val="ListParagraph"/>
        <w:numPr>
          <w:ilvl w:val="0"/>
          <w:numId w:val="35"/>
        </w:numPr>
      </w:pPr>
      <w:r>
        <w:t>Federal Strategic Sourcing Initiatives (FSSI) – Programs will report quarterl</w:t>
      </w:r>
      <w:r w:rsidR="00C91F39">
        <w:t xml:space="preserve">y to the DHS CIO </w:t>
      </w:r>
      <w:r>
        <w:t>Lead regarding compliance with FSSI.  Programs will include FSSI compliance and transition status in presentation of IT budget requests, as an indicator of delivering value, as a factor in root cause analyses, and as a prerequisite to be evaluated prior to acquisition review and approval.</w:t>
      </w:r>
    </w:p>
    <w:p w:rsidR="00C919B4" w:rsidRDefault="00C919B4" w:rsidP="00742544">
      <w:pPr>
        <w:pStyle w:val="ListParagraph"/>
        <w:numPr>
          <w:ilvl w:val="0"/>
          <w:numId w:val="35"/>
        </w:numPr>
      </w:pPr>
      <w:r>
        <w:t>Commodity IT – Programs will report quarter</w:t>
      </w:r>
      <w:r w:rsidR="00C91F39">
        <w:t>ly to the DHS CIO</w:t>
      </w:r>
      <w:r>
        <w:t xml:space="preserve"> Lead on commodity IT spending within their IT Portfolio.  Programs will include commodity IT spending in presentation of IT budget requests, as an indicator of delivering value, as a factor in root cause analyses, and as a prerequisite to be evaluated prior to acquisition review and approval.</w:t>
      </w:r>
    </w:p>
    <w:p w:rsidR="00C919B4" w:rsidRDefault="00C919B4" w:rsidP="00742544">
      <w:pPr>
        <w:pStyle w:val="ListParagraph"/>
        <w:numPr>
          <w:ilvl w:val="0"/>
          <w:numId w:val="35"/>
        </w:numPr>
      </w:pPr>
      <w:r>
        <w:t>Enterprise Cloud Services (ECS) Contract – Programs will report quarter</w:t>
      </w:r>
      <w:r w:rsidR="00C91F39">
        <w:t>ly to the DHS CIO</w:t>
      </w:r>
      <w:r>
        <w:t xml:space="preserve"> Lead regarding ECS spending within their IT Portfolio. Programs will include ECS spending in presentation of IT budget requests, as an indicator of delivering value, as a factor in root cause analyses, and as a prerequisite to be evaluated prior to acquisition review and approval.</w:t>
      </w:r>
    </w:p>
    <w:p w:rsidR="00DF502C" w:rsidRDefault="00C919B4" w:rsidP="00742544">
      <w:pPr>
        <w:pStyle w:val="ListParagraph"/>
        <w:numPr>
          <w:ilvl w:val="0"/>
          <w:numId w:val="35"/>
        </w:numPr>
      </w:pPr>
      <w:r>
        <w:t>Cyber Security – Programs will report quarter</w:t>
      </w:r>
      <w:r w:rsidR="00C91F39">
        <w:t>ly to the DHS CIO</w:t>
      </w:r>
      <w:r>
        <w:t xml:space="preserve"> Lead on cyber security </w:t>
      </w:r>
      <w:r w:rsidR="00DF502C">
        <w:t>spending within their IT Portfolio. Programs will include</w:t>
      </w:r>
      <w:r w:rsidR="00797ED0">
        <w:t xml:space="preserve"> cyber security </w:t>
      </w:r>
      <w:r w:rsidR="00DF502C">
        <w:t>spending in presentation of IT budget requests, as an indicator of delivering value, as a factor in root cause analyses, and as a prerequisite to be evaluated prior to acquisition review and approval.</w:t>
      </w:r>
    </w:p>
    <w:p w:rsidR="00797ED0" w:rsidRDefault="00797ED0" w:rsidP="00742544">
      <w:pPr>
        <w:pStyle w:val="ListParagraph"/>
        <w:numPr>
          <w:ilvl w:val="0"/>
          <w:numId w:val="35"/>
        </w:numPr>
      </w:pPr>
      <w:r>
        <w:t>Open Data – Programs will</w:t>
      </w:r>
      <w:r w:rsidR="003903AE">
        <w:t xml:space="preserve"> report quarterly to the DHS CIO</w:t>
      </w:r>
      <w:r>
        <w:t xml:space="preserve"> Open Data Manager regarding the status of publically available information and web sites supported by cloud computing solutions and services within their IT Portfolio.  Programs will include open data statistics in presentation of IT budget requests, as an indicator of delivering value, as a factor in root cause analyses, and as a prerequisite to be evaluated prior to acquisition review and approval.</w:t>
      </w:r>
    </w:p>
    <w:p w:rsidR="006F3FFF" w:rsidRDefault="00F70276" w:rsidP="00546623">
      <w:r>
        <w:lastRenderedPageBreak/>
        <w:t xml:space="preserve"> </w:t>
      </w:r>
    </w:p>
    <w:p w:rsidR="00E37F85" w:rsidRDefault="00E37F85" w:rsidP="00CC7210">
      <w:pPr>
        <w:pStyle w:val="Heading1"/>
      </w:pPr>
      <w:bookmarkStart w:id="19" w:name="_Toc475636840"/>
      <w:r>
        <w:t>Challenges</w:t>
      </w:r>
      <w:r w:rsidR="003B3278">
        <w:t>, Barriers</w:t>
      </w:r>
      <w:r>
        <w:t xml:space="preserve"> and Mitigations</w:t>
      </w:r>
      <w:bookmarkEnd w:id="19"/>
    </w:p>
    <w:p w:rsidR="005A2C72" w:rsidRDefault="00647FE4" w:rsidP="00F45DFC">
      <w:r>
        <w:t>Previously, agencies such as the DHS ha</w:t>
      </w:r>
      <w:r w:rsidR="001A09D3">
        <w:t>ve</w:t>
      </w:r>
      <w:r>
        <w:t xml:space="preserve"> developed </w:t>
      </w:r>
      <w:r w:rsidRPr="00647FE4">
        <w:t xml:space="preserve">systems and applications to operate in protected government facilities with dedicated infrastructure. Although moving to cloud-enabling technologies offers significant benefits, challenges remain.  </w:t>
      </w:r>
      <w:r>
        <w:t xml:space="preserve">DHS will need to </w:t>
      </w:r>
      <w:r w:rsidRPr="00647FE4">
        <w:t>ensure that it does not compromise its missions by trading confidentiality, integrity or availability of data and information in pursuit of</w:t>
      </w:r>
      <w:r>
        <w:t xml:space="preserve"> </w:t>
      </w:r>
      <w:r w:rsidRPr="00647FE4">
        <w:t xml:space="preserve">the benefits that the cloud </w:t>
      </w:r>
      <w:r w:rsidR="00141A42">
        <w:t xml:space="preserve">services </w:t>
      </w:r>
      <w:r w:rsidRPr="00647FE4">
        <w:t xml:space="preserve">may offer. </w:t>
      </w:r>
      <w:r w:rsidR="00141A42">
        <w:t xml:space="preserve">The </w:t>
      </w:r>
      <w:proofErr w:type="gramStart"/>
      <w:r w:rsidR="00141A42">
        <w:t>table</w:t>
      </w:r>
      <w:proofErr w:type="gramEnd"/>
      <w:r w:rsidRPr="00647FE4">
        <w:t xml:space="preserve"> below lists challenges and mitigation activities that will help the </w:t>
      </w:r>
      <w:r w:rsidR="0064066E">
        <w:t>DHS</w:t>
      </w:r>
      <w:r w:rsidRPr="00647FE4">
        <w:t xml:space="preserve"> achieve the vision described in this document.</w:t>
      </w:r>
    </w:p>
    <w:p w:rsidR="005A2C72" w:rsidRDefault="005A2C72">
      <w:pPr>
        <w:spacing w:after="0"/>
      </w:pPr>
      <w:r>
        <w:br w:type="page"/>
      </w:r>
    </w:p>
    <w:p w:rsidR="00141A42" w:rsidRDefault="004178C3" w:rsidP="004178C3">
      <w:pPr>
        <w:pStyle w:val="Caption"/>
        <w:jc w:val="center"/>
      </w:pPr>
      <w:bookmarkStart w:id="20" w:name="_Toc475635602"/>
      <w:proofErr w:type="gramStart"/>
      <w:r>
        <w:lastRenderedPageBreak/>
        <w:t xml:space="preserve">Figure </w:t>
      </w:r>
      <w:fldSimple w:instr=" SEQ Figure \* ARABIC ">
        <w:r w:rsidR="00C63078">
          <w:rPr>
            <w:noProof/>
          </w:rPr>
          <w:t>2</w:t>
        </w:r>
      </w:fldSimple>
      <w:r>
        <w:t>.</w:t>
      </w:r>
      <w:proofErr w:type="gramEnd"/>
      <w:r>
        <w:t xml:space="preserve"> Challenges and Mitigation</w:t>
      </w:r>
      <w:bookmarkEnd w:id="20"/>
    </w:p>
    <w:tbl>
      <w:tblPr>
        <w:tblW w:w="10428" w:type="dxa"/>
        <w:tblInd w:w="-174" w:type="dxa"/>
        <w:tblLayout w:type="fixed"/>
        <w:tblCellMar>
          <w:left w:w="0" w:type="dxa"/>
          <w:right w:w="0" w:type="dxa"/>
        </w:tblCellMar>
        <w:tblLook w:val="01E0" w:firstRow="1" w:lastRow="1" w:firstColumn="1" w:lastColumn="1" w:noHBand="0" w:noVBand="0"/>
      </w:tblPr>
      <w:tblGrid>
        <w:gridCol w:w="3870"/>
        <w:gridCol w:w="6558"/>
      </w:tblGrid>
      <w:tr w:rsidR="00647FE4" w:rsidTr="000C5595">
        <w:trPr>
          <w:cantSplit/>
          <w:trHeight w:hRule="exact" w:val="319"/>
        </w:trPr>
        <w:tc>
          <w:tcPr>
            <w:tcW w:w="10428" w:type="dxa"/>
            <w:gridSpan w:val="2"/>
            <w:tcBorders>
              <w:top w:val="single" w:sz="5" w:space="0" w:color="17365D"/>
              <w:left w:val="single" w:sz="5" w:space="0" w:color="17365D"/>
              <w:bottom w:val="single" w:sz="5" w:space="0" w:color="17365D"/>
              <w:right w:val="single" w:sz="5" w:space="0" w:color="17365D"/>
            </w:tcBorders>
            <w:shd w:val="clear" w:color="auto" w:fill="355F91"/>
          </w:tcPr>
          <w:p w:rsidR="00647FE4" w:rsidRDefault="00647FE4" w:rsidP="00BF2507">
            <w:pPr>
              <w:pStyle w:val="TableParagraph"/>
              <w:spacing w:line="268" w:lineRule="exact"/>
              <w:ind w:left="37"/>
              <w:rPr>
                <w:rFonts w:ascii="Calibri" w:eastAsia="Calibri" w:hAnsi="Calibri" w:cs="Calibri"/>
              </w:rPr>
            </w:pPr>
            <w:r>
              <w:rPr>
                <w:rFonts w:ascii="Calibri"/>
                <w:b/>
                <w:color w:val="FFFFFF"/>
              </w:rPr>
              <w:t>Governance</w:t>
            </w:r>
            <w:r>
              <w:rPr>
                <w:rFonts w:ascii="Calibri"/>
                <w:b/>
                <w:color w:val="FFFFFF"/>
                <w:spacing w:val="-10"/>
              </w:rPr>
              <w:t xml:space="preserve"> </w:t>
            </w:r>
            <w:r>
              <w:rPr>
                <w:rFonts w:ascii="Calibri"/>
                <w:b/>
                <w:color w:val="FFFFFF"/>
                <w:spacing w:val="-1"/>
              </w:rPr>
              <w:t>and</w:t>
            </w:r>
            <w:r>
              <w:rPr>
                <w:rFonts w:ascii="Calibri"/>
                <w:b/>
                <w:color w:val="FFFFFF"/>
                <w:spacing w:val="-10"/>
              </w:rPr>
              <w:t xml:space="preserve"> </w:t>
            </w:r>
            <w:r>
              <w:rPr>
                <w:rFonts w:ascii="Calibri"/>
                <w:b/>
                <w:color w:val="FFFFFF"/>
              </w:rPr>
              <w:t>Culture</w:t>
            </w:r>
            <w:r>
              <w:rPr>
                <w:rFonts w:ascii="Calibri"/>
                <w:b/>
                <w:color w:val="FFFFFF"/>
                <w:spacing w:val="-9"/>
              </w:rPr>
              <w:t xml:space="preserve"> </w:t>
            </w:r>
            <w:r>
              <w:rPr>
                <w:rFonts w:ascii="Calibri"/>
                <w:b/>
                <w:color w:val="FFFFFF"/>
              </w:rPr>
              <w:t>Changes</w:t>
            </w:r>
          </w:p>
        </w:tc>
      </w:tr>
      <w:tr w:rsidR="00647FE4" w:rsidTr="00FA6658">
        <w:trPr>
          <w:cantSplit/>
          <w:trHeight w:hRule="exact" w:val="319"/>
        </w:trPr>
        <w:tc>
          <w:tcPr>
            <w:tcW w:w="3870" w:type="dxa"/>
            <w:tcBorders>
              <w:top w:val="single" w:sz="5" w:space="0" w:color="17365D"/>
              <w:left w:val="single" w:sz="5" w:space="0" w:color="231F20"/>
              <w:bottom w:val="single" w:sz="5" w:space="0" w:color="231F20"/>
              <w:right w:val="single" w:sz="5" w:space="0" w:color="231F20"/>
            </w:tcBorders>
            <w:shd w:val="clear" w:color="auto" w:fill="DBE4F0"/>
          </w:tcPr>
          <w:p w:rsidR="00647FE4" w:rsidRDefault="00647FE4" w:rsidP="00BF2507">
            <w:pPr>
              <w:pStyle w:val="TableParagraph"/>
              <w:spacing w:line="267" w:lineRule="exact"/>
              <w:ind w:left="37"/>
              <w:rPr>
                <w:rFonts w:ascii="Calibri" w:eastAsia="Calibri" w:hAnsi="Calibri" w:cs="Calibri"/>
              </w:rPr>
            </w:pPr>
            <w:r>
              <w:rPr>
                <w:rFonts w:ascii="Calibri"/>
                <w:b/>
                <w:color w:val="231F20"/>
              </w:rPr>
              <w:t>Challenge</w:t>
            </w:r>
          </w:p>
        </w:tc>
        <w:tc>
          <w:tcPr>
            <w:tcW w:w="6558" w:type="dxa"/>
            <w:tcBorders>
              <w:top w:val="single" w:sz="5" w:space="0" w:color="17365D"/>
              <w:left w:val="single" w:sz="5" w:space="0" w:color="231F20"/>
              <w:bottom w:val="single" w:sz="5" w:space="0" w:color="231F20"/>
              <w:right w:val="single" w:sz="5" w:space="0" w:color="231F20"/>
            </w:tcBorders>
            <w:shd w:val="clear" w:color="auto" w:fill="DBE4F0"/>
          </w:tcPr>
          <w:p w:rsidR="00F84F58" w:rsidRDefault="00647FE4" w:rsidP="00BF2507">
            <w:pPr>
              <w:pStyle w:val="TableParagraph"/>
              <w:spacing w:line="267" w:lineRule="exact"/>
              <w:ind w:left="37"/>
              <w:rPr>
                <w:rFonts w:ascii="Calibri" w:eastAsia="Calibri" w:hAnsi="Calibri" w:cs="Calibri"/>
              </w:rPr>
            </w:pPr>
            <w:r>
              <w:rPr>
                <w:rFonts w:ascii="Calibri"/>
                <w:b/>
                <w:color w:val="231F20"/>
              </w:rPr>
              <w:t>Mitigation</w:t>
            </w:r>
          </w:p>
          <w:p w:rsidR="00F84F58" w:rsidRPr="00F84F58" w:rsidRDefault="00F84F58" w:rsidP="00F84F58">
            <w:pPr>
              <w:rPr>
                <w:rFonts w:eastAsia="Calibri"/>
              </w:rPr>
            </w:pPr>
          </w:p>
          <w:p w:rsidR="00F84F58" w:rsidRPr="00F84F58" w:rsidRDefault="00F84F58" w:rsidP="00F84F58">
            <w:pPr>
              <w:rPr>
                <w:rFonts w:eastAsia="Calibri"/>
              </w:rPr>
            </w:pPr>
          </w:p>
          <w:p w:rsidR="00F84F58" w:rsidRPr="00F84F58" w:rsidRDefault="00F84F58" w:rsidP="00F84F58">
            <w:pPr>
              <w:rPr>
                <w:rFonts w:eastAsia="Calibri"/>
              </w:rPr>
            </w:pPr>
          </w:p>
          <w:p w:rsidR="00F84F58" w:rsidRPr="00F84F58" w:rsidRDefault="00F84F58" w:rsidP="00F84F58">
            <w:pPr>
              <w:rPr>
                <w:rFonts w:eastAsia="Calibri"/>
              </w:rPr>
            </w:pPr>
          </w:p>
          <w:p w:rsidR="00F84F58" w:rsidRPr="00F84F58" w:rsidRDefault="00F84F58" w:rsidP="00F84F58">
            <w:pPr>
              <w:rPr>
                <w:rFonts w:eastAsia="Calibri"/>
              </w:rPr>
            </w:pPr>
          </w:p>
          <w:p w:rsidR="00F84F58" w:rsidRPr="00F84F58" w:rsidRDefault="00F84F58" w:rsidP="00F84F58">
            <w:pPr>
              <w:rPr>
                <w:rFonts w:eastAsia="Calibri"/>
              </w:rPr>
            </w:pPr>
          </w:p>
          <w:p w:rsidR="00F84F58" w:rsidRPr="00F84F58" w:rsidRDefault="00F84F58" w:rsidP="00F84F58">
            <w:pPr>
              <w:rPr>
                <w:rFonts w:eastAsia="Calibri"/>
              </w:rPr>
            </w:pPr>
          </w:p>
          <w:p w:rsidR="00F84F58" w:rsidRPr="00F84F58" w:rsidRDefault="00F84F58" w:rsidP="00F84F58">
            <w:pPr>
              <w:rPr>
                <w:rFonts w:eastAsia="Calibri"/>
              </w:rPr>
            </w:pPr>
          </w:p>
          <w:p w:rsidR="00647FE4" w:rsidRPr="00F84F58" w:rsidRDefault="00F84F58" w:rsidP="00F84F58">
            <w:pPr>
              <w:tabs>
                <w:tab w:val="left" w:pos="3193"/>
              </w:tabs>
              <w:rPr>
                <w:rFonts w:eastAsia="Calibri"/>
              </w:rPr>
            </w:pPr>
            <w:r>
              <w:rPr>
                <w:rFonts w:eastAsia="Calibri"/>
              </w:rPr>
              <w:tab/>
            </w:r>
          </w:p>
        </w:tc>
      </w:tr>
      <w:tr w:rsidR="00647FE4" w:rsidTr="00FA6658">
        <w:trPr>
          <w:cantSplit/>
          <w:trHeight w:hRule="exact" w:val="5540"/>
        </w:trPr>
        <w:tc>
          <w:tcPr>
            <w:tcW w:w="3870" w:type="dxa"/>
            <w:tcBorders>
              <w:top w:val="single" w:sz="5" w:space="0" w:color="231F20"/>
              <w:left w:val="single" w:sz="5" w:space="0" w:color="231F20"/>
              <w:bottom w:val="single" w:sz="5" w:space="0" w:color="231F20"/>
              <w:right w:val="single" w:sz="5" w:space="0" w:color="231F20"/>
            </w:tcBorders>
          </w:tcPr>
          <w:p w:rsidR="00647FE4" w:rsidRPr="00236B7C" w:rsidRDefault="00236B7C" w:rsidP="00742544">
            <w:pPr>
              <w:pStyle w:val="ListParagraph"/>
              <w:numPr>
                <w:ilvl w:val="0"/>
                <w:numId w:val="25"/>
              </w:numPr>
            </w:pPr>
            <w:r w:rsidRPr="00236B7C">
              <w:t xml:space="preserve">Managing the </w:t>
            </w:r>
            <w:r w:rsidR="00B84E45">
              <w:t>adoption of DHS ECS</w:t>
            </w:r>
            <w:r w:rsidR="000C5595">
              <w:t xml:space="preserve"> </w:t>
            </w:r>
            <w:r w:rsidRPr="00236B7C">
              <w:t>to enable DHS to achieve its IT objectives.</w:t>
            </w:r>
          </w:p>
          <w:p w:rsidR="00236B7C" w:rsidRPr="00236B7C" w:rsidRDefault="00604DDB" w:rsidP="00742544">
            <w:pPr>
              <w:pStyle w:val="ListParagraph"/>
              <w:numPr>
                <w:ilvl w:val="0"/>
                <w:numId w:val="25"/>
              </w:numPr>
            </w:pPr>
            <w:r>
              <w:t>Establishing and maintaining a</w:t>
            </w:r>
            <w:r w:rsidR="00236B7C" w:rsidRPr="00236B7C">
              <w:t xml:space="preserve"> </w:t>
            </w:r>
            <w:r w:rsidR="000C5595">
              <w:t>Cloud First</w:t>
            </w:r>
            <w:r w:rsidR="00236B7C" w:rsidRPr="00236B7C">
              <w:t xml:space="preserve"> approach</w:t>
            </w:r>
            <w:r w:rsidR="00236B7C">
              <w:t>.</w:t>
            </w:r>
          </w:p>
          <w:p w:rsidR="00236B7C" w:rsidRPr="000C5595" w:rsidRDefault="00236B7C" w:rsidP="00742544">
            <w:pPr>
              <w:pStyle w:val="ListParagraph"/>
              <w:numPr>
                <w:ilvl w:val="0"/>
                <w:numId w:val="25"/>
              </w:numPr>
            </w:pPr>
            <w:r w:rsidRPr="00236B7C">
              <w:t>Lack of governance, consistency between operations, and standard processes between EDCs and solutions causes issues</w:t>
            </w:r>
            <w:r>
              <w:t>.</w:t>
            </w:r>
          </w:p>
        </w:tc>
        <w:tc>
          <w:tcPr>
            <w:tcW w:w="6558" w:type="dxa"/>
            <w:tcBorders>
              <w:top w:val="single" w:sz="5" w:space="0" w:color="231F20"/>
              <w:left w:val="single" w:sz="5" w:space="0" w:color="231F20"/>
              <w:bottom w:val="single" w:sz="5" w:space="0" w:color="231F20"/>
              <w:right w:val="single" w:sz="5" w:space="0" w:color="231F20"/>
            </w:tcBorders>
          </w:tcPr>
          <w:p w:rsidR="0064066E" w:rsidRDefault="0064066E" w:rsidP="00742544">
            <w:pPr>
              <w:pStyle w:val="ListParagraph"/>
              <w:numPr>
                <w:ilvl w:val="0"/>
                <w:numId w:val="25"/>
              </w:numPr>
            </w:pPr>
            <w:r w:rsidRPr="0064066E">
              <w:t>Execute</w:t>
            </w:r>
            <w:r>
              <w:t xml:space="preserve"> IT Policy that</w:t>
            </w:r>
            <w:r w:rsidRPr="0064066E">
              <w:t xml:space="preserve"> approve/enforce an </w:t>
            </w:r>
            <w:r w:rsidR="000C5595">
              <w:t>Enterprise IT services</w:t>
            </w:r>
            <w:r w:rsidRPr="0064066E">
              <w:t xml:space="preserve"> approach </w:t>
            </w:r>
            <w:r>
              <w:t>throughout t</w:t>
            </w:r>
            <w:r w:rsidRPr="0064066E">
              <w:t>he Department</w:t>
            </w:r>
            <w:r>
              <w:t>.</w:t>
            </w:r>
          </w:p>
          <w:p w:rsidR="0064066E" w:rsidRDefault="0064066E" w:rsidP="00742544">
            <w:pPr>
              <w:pStyle w:val="ListParagraph"/>
              <w:numPr>
                <w:ilvl w:val="0"/>
                <w:numId w:val="25"/>
              </w:numPr>
            </w:pPr>
            <w:r>
              <w:t xml:space="preserve">Establish a </w:t>
            </w:r>
            <w:r w:rsidR="00294AE8">
              <w:t xml:space="preserve">comprehensive </w:t>
            </w:r>
            <w:r w:rsidR="001A09D3">
              <w:t xml:space="preserve">services </w:t>
            </w:r>
            <w:r>
              <w:t xml:space="preserve">governance lifecycle methodology </w:t>
            </w:r>
            <w:r w:rsidR="000C5595">
              <w:t xml:space="preserve">that guides </w:t>
            </w:r>
            <w:r>
              <w:t xml:space="preserve">the identification, design, </w:t>
            </w:r>
            <w:r w:rsidR="000C5595">
              <w:t>deployment</w:t>
            </w:r>
            <w:r>
              <w:t xml:space="preserve">, and </w:t>
            </w:r>
            <w:r w:rsidR="000C5595">
              <w:t>continuous operations</w:t>
            </w:r>
            <w:r>
              <w:t xml:space="preserve"> of </w:t>
            </w:r>
            <w:r w:rsidR="000C5595">
              <w:t>IT service solutions</w:t>
            </w:r>
            <w:r>
              <w:t>.</w:t>
            </w:r>
          </w:p>
          <w:p w:rsidR="00294AE8" w:rsidRDefault="00B46289" w:rsidP="00742544">
            <w:pPr>
              <w:pStyle w:val="ListParagraph"/>
              <w:numPr>
                <w:ilvl w:val="0"/>
                <w:numId w:val="25"/>
              </w:numPr>
            </w:pPr>
            <w:r>
              <w:t xml:space="preserve">Publish </w:t>
            </w:r>
            <w:r w:rsidR="00294AE8">
              <w:t xml:space="preserve">service design </w:t>
            </w:r>
            <w:r w:rsidRPr="00581AF9">
              <w:t>engineering standards</w:t>
            </w:r>
            <w:r w:rsidR="00294AE8">
              <w:t>.</w:t>
            </w:r>
          </w:p>
          <w:p w:rsidR="00B46289" w:rsidRDefault="00294AE8" w:rsidP="00742544">
            <w:pPr>
              <w:pStyle w:val="ListParagraph"/>
              <w:numPr>
                <w:ilvl w:val="0"/>
                <w:numId w:val="25"/>
              </w:numPr>
            </w:pPr>
            <w:r>
              <w:t>Develop and publish</w:t>
            </w:r>
            <w:r w:rsidR="00B46289">
              <w:t xml:space="preserve"> </w:t>
            </w:r>
            <w:r w:rsidR="004B3412">
              <w:t>enterprise computing</w:t>
            </w:r>
            <w:r w:rsidR="000A1DB2">
              <w:t xml:space="preserve"> </w:t>
            </w:r>
            <w:r w:rsidR="002A00C3">
              <w:t>service</w:t>
            </w:r>
            <w:r w:rsidR="00B46289">
              <w:t xml:space="preserve"> reference architecture</w:t>
            </w:r>
            <w:r w:rsidR="002A00C3">
              <w:t>s</w:t>
            </w:r>
            <w:r>
              <w:t xml:space="preserve"> for IaaS, PaaS, and SaaS</w:t>
            </w:r>
            <w:r w:rsidR="00B46289" w:rsidRPr="00581AF9">
              <w:t xml:space="preserve">. </w:t>
            </w:r>
          </w:p>
          <w:p w:rsidR="00647FE4" w:rsidRPr="0064066E" w:rsidRDefault="00B46289" w:rsidP="00742544">
            <w:pPr>
              <w:pStyle w:val="ListParagraph"/>
              <w:numPr>
                <w:ilvl w:val="0"/>
                <w:numId w:val="25"/>
              </w:numPr>
              <w:rPr>
                <w:rFonts w:ascii="Calibri" w:eastAsia="Calibri" w:hAnsi="Calibri" w:cs="Calibri"/>
              </w:rPr>
            </w:pPr>
            <w:r>
              <w:t xml:space="preserve">Produce </w:t>
            </w:r>
            <w:r w:rsidR="000C5595">
              <w:t>master service roadmap</w:t>
            </w:r>
            <w:r>
              <w:t xml:space="preserve"> to </w:t>
            </w:r>
            <w:r w:rsidRPr="00650E5E">
              <w:t>better understand what services</w:t>
            </w:r>
            <w:r>
              <w:t xml:space="preserve"> are being provided and when. </w:t>
            </w:r>
          </w:p>
        </w:tc>
      </w:tr>
      <w:tr w:rsidR="00647FE4" w:rsidTr="000C5595">
        <w:trPr>
          <w:trHeight w:hRule="exact" w:val="319"/>
        </w:trPr>
        <w:tc>
          <w:tcPr>
            <w:tcW w:w="10428" w:type="dxa"/>
            <w:gridSpan w:val="2"/>
            <w:tcBorders>
              <w:top w:val="single" w:sz="5" w:space="0" w:color="231F20"/>
              <w:left w:val="single" w:sz="5" w:space="0" w:color="17365D"/>
              <w:bottom w:val="single" w:sz="5" w:space="0" w:color="17365D"/>
              <w:right w:val="single" w:sz="5" w:space="0" w:color="17365D"/>
            </w:tcBorders>
            <w:shd w:val="clear" w:color="auto" w:fill="355F91"/>
          </w:tcPr>
          <w:p w:rsidR="00647FE4" w:rsidRDefault="00647FE4" w:rsidP="00BF2507">
            <w:pPr>
              <w:pStyle w:val="TableParagraph"/>
              <w:spacing w:line="267" w:lineRule="exact"/>
              <w:ind w:left="37"/>
              <w:rPr>
                <w:rFonts w:ascii="Calibri" w:eastAsia="Calibri" w:hAnsi="Calibri" w:cs="Calibri"/>
              </w:rPr>
            </w:pPr>
            <w:r>
              <w:rPr>
                <w:rFonts w:ascii="Calibri"/>
                <w:b/>
                <w:color w:val="FFFFFF"/>
              </w:rPr>
              <w:t>Cybersecurity</w:t>
            </w:r>
          </w:p>
        </w:tc>
      </w:tr>
      <w:tr w:rsidR="00647FE4" w:rsidTr="00FA6658">
        <w:trPr>
          <w:trHeight w:hRule="exact" w:val="318"/>
        </w:trPr>
        <w:tc>
          <w:tcPr>
            <w:tcW w:w="3870" w:type="dxa"/>
            <w:tcBorders>
              <w:top w:val="single" w:sz="5" w:space="0" w:color="17365D"/>
              <w:left w:val="single" w:sz="5" w:space="0" w:color="231F20"/>
              <w:bottom w:val="single" w:sz="5" w:space="0" w:color="231F20"/>
              <w:right w:val="single" w:sz="5" w:space="0" w:color="231F20"/>
            </w:tcBorders>
            <w:shd w:val="clear" w:color="auto" w:fill="DBE4F0"/>
          </w:tcPr>
          <w:p w:rsidR="00647FE4" w:rsidRDefault="00647FE4" w:rsidP="00BF2507">
            <w:pPr>
              <w:pStyle w:val="TableParagraph"/>
              <w:spacing w:line="267" w:lineRule="exact"/>
              <w:ind w:left="37"/>
              <w:rPr>
                <w:rFonts w:ascii="Calibri" w:eastAsia="Calibri" w:hAnsi="Calibri" w:cs="Calibri"/>
              </w:rPr>
            </w:pPr>
            <w:r>
              <w:rPr>
                <w:rFonts w:ascii="Calibri"/>
                <w:b/>
                <w:color w:val="231F20"/>
              </w:rPr>
              <w:t>Challenge</w:t>
            </w:r>
          </w:p>
        </w:tc>
        <w:tc>
          <w:tcPr>
            <w:tcW w:w="6558" w:type="dxa"/>
            <w:tcBorders>
              <w:top w:val="single" w:sz="5" w:space="0" w:color="17365D"/>
              <w:left w:val="single" w:sz="5" w:space="0" w:color="231F20"/>
              <w:bottom w:val="single" w:sz="5" w:space="0" w:color="231F20"/>
              <w:right w:val="single" w:sz="5" w:space="0" w:color="231F20"/>
            </w:tcBorders>
            <w:shd w:val="clear" w:color="auto" w:fill="DBE4F0"/>
          </w:tcPr>
          <w:p w:rsidR="00647FE4" w:rsidRDefault="00647FE4" w:rsidP="00BF2507">
            <w:pPr>
              <w:pStyle w:val="TableParagraph"/>
              <w:spacing w:line="267" w:lineRule="exact"/>
              <w:ind w:left="37"/>
              <w:rPr>
                <w:rFonts w:ascii="Calibri" w:eastAsia="Calibri" w:hAnsi="Calibri" w:cs="Calibri"/>
              </w:rPr>
            </w:pPr>
            <w:r>
              <w:rPr>
                <w:rFonts w:ascii="Calibri"/>
                <w:b/>
                <w:color w:val="231F20"/>
              </w:rPr>
              <w:t>Mitigation</w:t>
            </w:r>
          </w:p>
        </w:tc>
      </w:tr>
      <w:tr w:rsidR="00647FE4" w:rsidTr="00FA6658">
        <w:trPr>
          <w:trHeight w:hRule="exact" w:val="3965"/>
        </w:trPr>
        <w:tc>
          <w:tcPr>
            <w:tcW w:w="3870" w:type="dxa"/>
            <w:tcBorders>
              <w:top w:val="single" w:sz="5" w:space="0" w:color="231F20"/>
              <w:left w:val="single" w:sz="5" w:space="0" w:color="231F20"/>
              <w:bottom w:val="single" w:sz="5" w:space="0" w:color="231F20"/>
              <w:right w:val="single" w:sz="5" w:space="0" w:color="231F20"/>
            </w:tcBorders>
          </w:tcPr>
          <w:p w:rsidR="00236B7C" w:rsidRPr="00236B7C" w:rsidRDefault="00236B7C" w:rsidP="00742544">
            <w:pPr>
              <w:pStyle w:val="ListParagraph"/>
              <w:numPr>
                <w:ilvl w:val="0"/>
                <w:numId w:val="26"/>
              </w:numPr>
            </w:pPr>
            <w:r w:rsidRPr="00236B7C">
              <w:t>Implementing continuous monitoring, handling intrusion detection and alerts, and providing diagnosis and response</w:t>
            </w:r>
            <w:r>
              <w:t>.</w:t>
            </w:r>
          </w:p>
          <w:p w:rsidR="00236B7C" w:rsidRPr="005C5A9D" w:rsidRDefault="00236B7C" w:rsidP="00742544">
            <w:pPr>
              <w:pStyle w:val="ListParagraph"/>
              <w:numPr>
                <w:ilvl w:val="0"/>
                <w:numId w:val="26"/>
              </w:numPr>
              <w:rPr>
                <w:rFonts w:ascii="Calibri" w:eastAsia="Calibri" w:hAnsi="Calibri" w:cs="Calibri"/>
              </w:rPr>
            </w:pPr>
            <w:r w:rsidRPr="00236B7C">
              <w:t xml:space="preserve">Ensuring that the security posture is not degraded after issuance of </w:t>
            </w:r>
            <w:proofErr w:type="spellStart"/>
            <w:r w:rsidRPr="00236B7C">
              <w:t>FedRAMP</w:t>
            </w:r>
            <w:proofErr w:type="spellEnd"/>
            <w:r w:rsidRPr="00236B7C">
              <w:t xml:space="preserve"> and/or DHS provisional authorization.</w:t>
            </w:r>
          </w:p>
          <w:p w:rsidR="005C5A9D" w:rsidRPr="00604DDB" w:rsidRDefault="005C5A9D" w:rsidP="00742544">
            <w:pPr>
              <w:pStyle w:val="ListParagraph"/>
              <w:numPr>
                <w:ilvl w:val="0"/>
                <w:numId w:val="26"/>
              </w:numPr>
              <w:rPr>
                <w:rFonts w:ascii="Calibri" w:eastAsia="Calibri" w:hAnsi="Calibri" w:cs="Calibri"/>
              </w:rPr>
            </w:pPr>
            <w:r>
              <w:t>Maintaining forensic, records management, Freedom of Information Act (FOIA) reporting, and two-factor authentication.</w:t>
            </w:r>
          </w:p>
        </w:tc>
        <w:tc>
          <w:tcPr>
            <w:tcW w:w="6558" w:type="dxa"/>
            <w:tcBorders>
              <w:top w:val="single" w:sz="5" w:space="0" w:color="231F20"/>
              <w:left w:val="single" w:sz="5" w:space="0" w:color="231F20"/>
              <w:bottom w:val="single" w:sz="5" w:space="0" w:color="231F20"/>
              <w:right w:val="single" w:sz="5" w:space="0" w:color="231F20"/>
            </w:tcBorders>
          </w:tcPr>
          <w:p w:rsidR="00647FE4" w:rsidRPr="00B46289" w:rsidRDefault="0064066E" w:rsidP="00742544">
            <w:pPr>
              <w:pStyle w:val="ListParagraph"/>
              <w:numPr>
                <w:ilvl w:val="0"/>
                <w:numId w:val="26"/>
              </w:numPr>
            </w:pPr>
            <w:r w:rsidRPr="0064066E">
              <w:t>Provide acquisition regulation</w:t>
            </w:r>
            <w:r>
              <w:t>,</w:t>
            </w:r>
            <w:r w:rsidRPr="0064066E">
              <w:t xml:space="preserve"> cyber policies</w:t>
            </w:r>
            <w:r>
              <w:t xml:space="preserve">, and </w:t>
            </w:r>
            <w:r w:rsidRPr="0064066E">
              <w:t xml:space="preserve">Continuous Diagnostics and Mitigation </w:t>
            </w:r>
            <w:r>
              <w:t xml:space="preserve">(CDM) </w:t>
            </w:r>
            <w:r w:rsidR="00B46289">
              <w:t xml:space="preserve">capabilities </w:t>
            </w:r>
            <w:r w:rsidR="00B46289" w:rsidRPr="0064066E">
              <w:t>to</w:t>
            </w:r>
            <w:r w:rsidRPr="0064066E">
              <w:t xml:space="preserve"> which cloud providers must adhere in order to adequately secure and D</w:t>
            </w:r>
            <w:r>
              <w:t>HS</w:t>
            </w:r>
            <w:r w:rsidR="003E7581">
              <w:t xml:space="preserve"> data and</w:t>
            </w:r>
            <w:r w:rsidRPr="0064066E">
              <w:t xml:space="preserve"> information</w:t>
            </w:r>
            <w:r w:rsidR="00B46289">
              <w:t>.</w:t>
            </w:r>
          </w:p>
          <w:p w:rsidR="00B46289" w:rsidRDefault="00B46289" w:rsidP="00742544">
            <w:pPr>
              <w:pStyle w:val="ListParagraph"/>
              <w:numPr>
                <w:ilvl w:val="0"/>
                <w:numId w:val="26"/>
              </w:numPr>
            </w:pPr>
            <w:r>
              <w:t>D</w:t>
            </w:r>
            <w:r w:rsidRPr="00B46289">
              <w:t>raft contract</w:t>
            </w:r>
            <w:r>
              <w:t xml:space="preserve">, </w:t>
            </w:r>
            <w:r w:rsidRPr="00B46289">
              <w:t>SLA terms</w:t>
            </w:r>
            <w:r>
              <w:t xml:space="preserve">, </w:t>
            </w:r>
            <w:r w:rsidRPr="00B46289">
              <w:t>and conditions</w:t>
            </w:r>
            <w:r>
              <w:t xml:space="preserve"> that are</w:t>
            </w:r>
            <w:r w:rsidRPr="00B46289">
              <w:t xml:space="preserve"> legally enforceable to ensure </w:t>
            </w:r>
            <w:r w:rsidR="00604DDB">
              <w:t>service providers maintain</w:t>
            </w:r>
            <w:r w:rsidRPr="00B46289">
              <w:t xml:space="preserve"> the protection levels th</w:t>
            </w:r>
            <w:r>
              <w:t xml:space="preserve">at DHS </w:t>
            </w:r>
            <w:r w:rsidRPr="00B46289">
              <w:t>requires</w:t>
            </w:r>
            <w:r w:rsidR="00604DDB">
              <w:t xml:space="preserve"> and reporting and escalating incidents in a prescribed manner</w:t>
            </w:r>
            <w:r w:rsidRPr="00B46289">
              <w:t>.</w:t>
            </w:r>
          </w:p>
          <w:p w:rsidR="00604DDB" w:rsidRDefault="00604DDB" w:rsidP="00742544">
            <w:pPr>
              <w:pStyle w:val="ListParagraph"/>
              <w:numPr>
                <w:ilvl w:val="0"/>
                <w:numId w:val="26"/>
              </w:numPr>
            </w:pPr>
            <w:r>
              <w:t>Develop cyber reporting and escalation requirements in a prescribed format.</w:t>
            </w:r>
          </w:p>
          <w:p w:rsidR="00B46289" w:rsidRPr="00B46289" w:rsidRDefault="00B46289" w:rsidP="00604DDB">
            <w:pPr>
              <w:ind w:left="82"/>
            </w:pPr>
          </w:p>
        </w:tc>
      </w:tr>
    </w:tbl>
    <w:p w:rsidR="00C53236" w:rsidRDefault="00C53236" w:rsidP="00C53236">
      <w:pPr>
        <w:pStyle w:val="Heading1"/>
        <w:numPr>
          <w:ilvl w:val="0"/>
          <w:numId w:val="0"/>
        </w:numPr>
        <w:ind w:left="432" w:hanging="432"/>
        <w:rPr>
          <w:sz w:val="24"/>
          <w:szCs w:val="24"/>
          <w:highlight w:val="green"/>
        </w:rPr>
      </w:pPr>
    </w:p>
    <w:p w:rsidR="00C53236" w:rsidRDefault="00C53236" w:rsidP="00C53236">
      <w:pPr>
        <w:rPr>
          <w:highlight w:val="green"/>
        </w:rPr>
      </w:pPr>
      <w:r>
        <w:rPr>
          <w:highlight w:val="green"/>
        </w:rPr>
        <w:br w:type="page"/>
      </w:r>
    </w:p>
    <w:tbl>
      <w:tblPr>
        <w:tblpPr w:leftFromText="180" w:rightFromText="180" w:vertAnchor="page" w:horzAnchor="margin" w:tblpY="1531"/>
        <w:tblW w:w="10440" w:type="dxa"/>
        <w:tblLayout w:type="fixed"/>
        <w:tblCellMar>
          <w:left w:w="0" w:type="dxa"/>
          <w:right w:w="0" w:type="dxa"/>
        </w:tblCellMar>
        <w:tblLook w:val="01E0" w:firstRow="1" w:lastRow="1" w:firstColumn="1" w:lastColumn="1" w:noHBand="0" w:noVBand="0"/>
      </w:tblPr>
      <w:tblGrid>
        <w:gridCol w:w="5220"/>
        <w:gridCol w:w="5205"/>
        <w:gridCol w:w="15"/>
      </w:tblGrid>
      <w:tr w:rsidR="00A64197" w:rsidTr="00A64197">
        <w:trPr>
          <w:cantSplit/>
          <w:trHeight w:hRule="exact" w:val="319"/>
        </w:trPr>
        <w:tc>
          <w:tcPr>
            <w:tcW w:w="10440" w:type="dxa"/>
            <w:gridSpan w:val="3"/>
            <w:tcBorders>
              <w:top w:val="single" w:sz="5" w:space="0" w:color="231F20"/>
              <w:left w:val="single" w:sz="5" w:space="0" w:color="231F20"/>
              <w:bottom w:val="single" w:sz="5" w:space="0" w:color="231F20"/>
              <w:right w:val="single" w:sz="5" w:space="0" w:color="231F20"/>
            </w:tcBorders>
            <w:shd w:val="clear" w:color="auto" w:fill="355F91"/>
          </w:tcPr>
          <w:p w:rsidR="00A64197" w:rsidRDefault="00A64197" w:rsidP="00A64197">
            <w:pPr>
              <w:pStyle w:val="TableParagraph"/>
              <w:spacing w:line="267" w:lineRule="exact"/>
              <w:ind w:left="37"/>
              <w:rPr>
                <w:rFonts w:ascii="Calibri" w:eastAsia="Calibri" w:hAnsi="Calibri" w:cs="Calibri"/>
              </w:rPr>
            </w:pPr>
            <w:r>
              <w:rPr>
                <w:rFonts w:ascii="Calibri"/>
                <w:b/>
                <w:color w:val="FFFFFF"/>
              </w:rPr>
              <w:lastRenderedPageBreak/>
              <w:t>Network</w:t>
            </w:r>
            <w:r>
              <w:rPr>
                <w:rFonts w:ascii="Calibri"/>
                <w:b/>
                <w:color w:val="FFFFFF"/>
                <w:spacing w:val="-8"/>
              </w:rPr>
              <w:t xml:space="preserve"> Operations </w:t>
            </w:r>
            <w:r>
              <w:rPr>
                <w:rFonts w:ascii="Calibri"/>
                <w:b/>
                <w:color w:val="FFFFFF"/>
              </w:rPr>
              <w:t>Dependence</w:t>
            </w:r>
            <w:r>
              <w:rPr>
                <w:rFonts w:ascii="Calibri"/>
                <w:b/>
                <w:color w:val="FFFFFF"/>
                <w:spacing w:val="-7"/>
              </w:rPr>
              <w:t xml:space="preserve"> </w:t>
            </w:r>
          </w:p>
        </w:tc>
      </w:tr>
      <w:tr w:rsidR="00A64197" w:rsidTr="00A64197">
        <w:trPr>
          <w:trHeight w:hRule="exact" w:val="318"/>
        </w:trPr>
        <w:tc>
          <w:tcPr>
            <w:tcW w:w="5220" w:type="dxa"/>
            <w:tcBorders>
              <w:top w:val="single" w:sz="5" w:space="0" w:color="231F20"/>
              <w:left w:val="single" w:sz="5" w:space="0" w:color="231F20"/>
              <w:bottom w:val="single" w:sz="5" w:space="0" w:color="231F20"/>
              <w:right w:val="single" w:sz="5" w:space="0" w:color="231F20"/>
            </w:tcBorders>
            <w:shd w:val="clear" w:color="auto" w:fill="DBE4F0"/>
          </w:tcPr>
          <w:p w:rsidR="00A64197" w:rsidRDefault="00A64197" w:rsidP="00A64197">
            <w:pPr>
              <w:pStyle w:val="TableParagraph"/>
              <w:spacing w:line="267" w:lineRule="exact"/>
              <w:ind w:left="37"/>
              <w:rPr>
                <w:rFonts w:ascii="Calibri" w:eastAsia="Calibri" w:hAnsi="Calibri" w:cs="Calibri"/>
              </w:rPr>
            </w:pPr>
            <w:r>
              <w:rPr>
                <w:rFonts w:ascii="Calibri"/>
                <w:b/>
                <w:color w:val="231F20"/>
              </w:rPr>
              <w:t>Challenge</w:t>
            </w:r>
          </w:p>
        </w:tc>
        <w:tc>
          <w:tcPr>
            <w:tcW w:w="5220" w:type="dxa"/>
            <w:gridSpan w:val="2"/>
            <w:tcBorders>
              <w:top w:val="single" w:sz="5" w:space="0" w:color="231F20"/>
              <w:left w:val="single" w:sz="5" w:space="0" w:color="231F20"/>
              <w:bottom w:val="single" w:sz="5" w:space="0" w:color="231F20"/>
              <w:right w:val="single" w:sz="5" w:space="0" w:color="231F20"/>
            </w:tcBorders>
            <w:shd w:val="clear" w:color="auto" w:fill="DBE4F0"/>
          </w:tcPr>
          <w:p w:rsidR="00A64197" w:rsidRDefault="00A64197" w:rsidP="00A64197">
            <w:pPr>
              <w:pStyle w:val="TableParagraph"/>
              <w:spacing w:line="267" w:lineRule="exact"/>
              <w:ind w:left="37"/>
              <w:rPr>
                <w:rFonts w:ascii="Calibri" w:eastAsia="Calibri" w:hAnsi="Calibri" w:cs="Calibri"/>
              </w:rPr>
            </w:pPr>
            <w:r>
              <w:rPr>
                <w:rFonts w:ascii="Calibri"/>
                <w:b/>
                <w:color w:val="231F20"/>
              </w:rPr>
              <w:t>Mitigation</w:t>
            </w:r>
          </w:p>
        </w:tc>
      </w:tr>
      <w:tr w:rsidR="00A64197" w:rsidTr="00A64197">
        <w:trPr>
          <w:trHeight w:hRule="exact" w:val="1771"/>
        </w:trPr>
        <w:tc>
          <w:tcPr>
            <w:tcW w:w="5220" w:type="dxa"/>
            <w:tcBorders>
              <w:top w:val="single" w:sz="5" w:space="0" w:color="231F20"/>
              <w:left w:val="single" w:sz="5" w:space="0" w:color="231F20"/>
              <w:bottom w:val="single" w:sz="5" w:space="0" w:color="231F20"/>
              <w:right w:val="single" w:sz="5" w:space="0" w:color="231F20"/>
            </w:tcBorders>
          </w:tcPr>
          <w:p w:rsidR="00A64197" w:rsidRPr="00FC649F" w:rsidRDefault="00A64197" w:rsidP="00A64197">
            <w:pPr>
              <w:pStyle w:val="ListParagraph"/>
              <w:numPr>
                <w:ilvl w:val="0"/>
                <w:numId w:val="27"/>
              </w:numPr>
            </w:pPr>
            <w:r w:rsidRPr="00FC649F">
              <w:t xml:space="preserve">Providing access to reliable, remotely delivered services to </w:t>
            </w:r>
            <w:r>
              <w:t xml:space="preserve">customers </w:t>
            </w:r>
            <w:r w:rsidRPr="00FC649F">
              <w:t>and support personnel</w:t>
            </w:r>
            <w:r>
              <w:t>.</w:t>
            </w:r>
          </w:p>
          <w:p w:rsidR="00A64197" w:rsidRPr="0070667C" w:rsidRDefault="00A64197" w:rsidP="00A64197">
            <w:pPr>
              <w:pStyle w:val="ListParagraph"/>
              <w:numPr>
                <w:ilvl w:val="0"/>
                <w:numId w:val="27"/>
              </w:numPr>
            </w:pPr>
            <w:r>
              <w:t xml:space="preserve">Ensuring the EDC infrastructure is capable of supporting multi-vendor </w:t>
            </w:r>
            <w:r w:rsidRPr="0070667C">
              <w:t>services</w:t>
            </w:r>
            <w:r>
              <w:t>.</w:t>
            </w:r>
          </w:p>
          <w:p w:rsidR="00A64197" w:rsidRDefault="00A64197" w:rsidP="00A64197">
            <w:pPr>
              <w:pStyle w:val="ListParagraph"/>
              <w:widowControl w:val="0"/>
              <w:tabs>
                <w:tab w:val="left" w:pos="443"/>
              </w:tabs>
              <w:spacing w:after="0"/>
              <w:ind w:left="442" w:right="634"/>
              <w:rPr>
                <w:rFonts w:ascii="Calibri" w:eastAsia="Calibri" w:hAnsi="Calibri" w:cs="Calibri"/>
              </w:rPr>
            </w:pPr>
          </w:p>
        </w:tc>
        <w:tc>
          <w:tcPr>
            <w:tcW w:w="5220" w:type="dxa"/>
            <w:gridSpan w:val="2"/>
            <w:tcBorders>
              <w:top w:val="single" w:sz="5" w:space="0" w:color="231F20"/>
              <w:left w:val="single" w:sz="5" w:space="0" w:color="231F20"/>
              <w:bottom w:val="single" w:sz="5" w:space="0" w:color="231F20"/>
              <w:right w:val="single" w:sz="5" w:space="0" w:color="231F20"/>
            </w:tcBorders>
          </w:tcPr>
          <w:p w:rsidR="00A64197" w:rsidRPr="00E35820" w:rsidRDefault="00A64197" w:rsidP="00A64197">
            <w:pPr>
              <w:pStyle w:val="ListParagraph"/>
              <w:widowControl w:val="0"/>
              <w:numPr>
                <w:ilvl w:val="0"/>
                <w:numId w:val="20"/>
              </w:numPr>
              <w:tabs>
                <w:tab w:val="left" w:pos="443"/>
              </w:tabs>
              <w:spacing w:after="0"/>
              <w:ind w:right="403"/>
              <w:rPr>
                <w:rFonts w:ascii="Calibri" w:eastAsia="Calibri" w:hAnsi="Calibri" w:cs="Calibri"/>
              </w:rPr>
            </w:pPr>
            <w:r>
              <w:t>Develop an approach to ensure that multi-vendor services do not degrade infrastructure operational services</w:t>
            </w:r>
          </w:p>
          <w:p w:rsidR="00A64197" w:rsidRPr="00604DDB" w:rsidRDefault="00A64197" w:rsidP="00A64197">
            <w:pPr>
              <w:pStyle w:val="ListParagraph"/>
              <w:widowControl w:val="0"/>
              <w:numPr>
                <w:ilvl w:val="0"/>
                <w:numId w:val="20"/>
              </w:numPr>
              <w:tabs>
                <w:tab w:val="left" w:pos="443"/>
              </w:tabs>
              <w:spacing w:after="0"/>
              <w:ind w:right="403"/>
              <w:rPr>
                <w:rFonts w:ascii="Calibri" w:eastAsia="Calibri" w:hAnsi="Calibri" w:cs="Calibri"/>
              </w:rPr>
            </w:pPr>
            <w:r>
              <w:t>Establish operational level agreements for each instance of a multi-service provisioned service.</w:t>
            </w:r>
          </w:p>
          <w:p w:rsidR="00A64197" w:rsidRPr="00604DDB" w:rsidRDefault="00A64197" w:rsidP="00A64197">
            <w:pPr>
              <w:widowControl w:val="0"/>
              <w:tabs>
                <w:tab w:val="left" w:pos="443"/>
              </w:tabs>
              <w:spacing w:after="0"/>
              <w:ind w:right="403"/>
              <w:rPr>
                <w:rFonts w:ascii="Calibri" w:eastAsia="Calibri" w:hAnsi="Calibri" w:cs="Calibri"/>
              </w:rPr>
            </w:pPr>
          </w:p>
        </w:tc>
      </w:tr>
      <w:tr w:rsidR="00A64197" w:rsidTr="00A64197">
        <w:trPr>
          <w:trHeight w:hRule="exact" w:val="319"/>
        </w:trPr>
        <w:tc>
          <w:tcPr>
            <w:tcW w:w="10440" w:type="dxa"/>
            <w:gridSpan w:val="3"/>
            <w:tcBorders>
              <w:top w:val="single" w:sz="5" w:space="0" w:color="231F20"/>
              <w:left w:val="single" w:sz="5" w:space="0" w:color="231F20"/>
              <w:bottom w:val="single" w:sz="5" w:space="0" w:color="231F20"/>
              <w:right w:val="single" w:sz="5" w:space="0" w:color="231F20"/>
            </w:tcBorders>
            <w:shd w:val="clear" w:color="auto" w:fill="355F91"/>
          </w:tcPr>
          <w:p w:rsidR="00A64197" w:rsidRDefault="00A64197" w:rsidP="00A64197">
            <w:pPr>
              <w:pStyle w:val="TableParagraph"/>
              <w:spacing w:line="268" w:lineRule="exact"/>
              <w:ind w:left="37"/>
              <w:rPr>
                <w:rFonts w:ascii="Calibri" w:eastAsia="Calibri" w:hAnsi="Calibri" w:cs="Calibri"/>
              </w:rPr>
            </w:pPr>
            <w:r>
              <w:rPr>
                <w:rFonts w:ascii="Calibri"/>
                <w:b/>
                <w:color w:val="FFFFFF"/>
              </w:rPr>
              <w:t>Service</w:t>
            </w:r>
            <w:r>
              <w:rPr>
                <w:rFonts w:ascii="Calibri"/>
                <w:b/>
                <w:color w:val="FFFFFF"/>
                <w:spacing w:val="-11"/>
              </w:rPr>
              <w:t xml:space="preserve"> </w:t>
            </w:r>
            <w:r>
              <w:rPr>
                <w:rFonts w:ascii="Calibri"/>
                <w:b/>
                <w:color w:val="FFFFFF"/>
              </w:rPr>
              <w:t>Acquisition</w:t>
            </w:r>
            <w:r>
              <w:rPr>
                <w:rFonts w:ascii="Calibri"/>
                <w:b/>
                <w:color w:val="FFFFFF"/>
                <w:spacing w:val="-11"/>
              </w:rPr>
              <w:t xml:space="preserve"> </w:t>
            </w:r>
            <w:r>
              <w:rPr>
                <w:rFonts w:ascii="Calibri"/>
                <w:b/>
                <w:color w:val="FFFFFF"/>
                <w:spacing w:val="-1"/>
              </w:rPr>
              <w:t>and</w:t>
            </w:r>
            <w:r>
              <w:rPr>
                <w:rFonts w:ascii="Calibri"/>
                <w:b/>
                <w:color w:val="FFFFFF"/>
                <w:spacing w:val="-10"/>
              </w:rPr>
              <w:t xml:space="preserve"> </w:t>
            </w:r>
            <w:r>
              <w:rPr>
                <w:rFonts w:ascii="Calibri"/>
                <w:b/>
                <w:color w:val="FFFFFF"/>
              </w:rPr>
              <w:t>Funding</w:t>
            </w:r>
            <w:r>
              <w:rPr>
                <w:rFonts w:ascii="Calibri"/>
                <w:b/>
                <w:color w:val="FFFFFF"/>
                <w:spacing w:val="-10"/>
              </w:rPr>
              <w:t xml:space="preserve"> </w:t>
            </w:r>
            <w:r>
              <w:rPr>
                <w:rFonts w:ascii="Calibri"/>
                <w:b/>
                <w:color w:val="FFFFFF"/>
              </w:rPr>
              <w:t>Sustainment</w:t>
            </w:r>
          </w:p>
        </w:tc>
      </w:tr>
      <w:tr w:rsidR="00A64197" w:rsidTr="00A64197">
        <w:trPr>
          <w:trHeight w:hRule="exact" w:val="345"/>
        </w:trPr>
        <w:tc>
          <w:tcPr>
            <w:tcW w:w="5220" w:type="dxa"/>
            <w:tcBorders>
              <w:top w:val="single" w:sz="5" w:space="0" w:color="231F20"/>
              <w:left w:val="single" w:sz="4" w:space="0" w:color="auto"/>
              <w:bottom w:val="single" w:sz="4" w:space="0" w:color="auto"/>
              <w:right w:val="single" w:sz="5" w:space="0" w:color="231F20"/>
            </w:tcBorders>
            <w:shd w:val="clear" w:color="auto" w:fill="DBE4F0"/>
          </w:tcPr>
          <w:p w:rsidR="00A64197" w:rsidRDefault="00A64197" w:rsidP="00A64197">
            <w:pPr>
              <w:pStyle w:val="TableParagraph"/>
              <w:spacing w:line="268" w:lineRule="exact"/>
              <w:ind w:left="37"/>
              <w:rPr>
                <w:rFonts w:ascii="Calibri" w:eastAsia="Calibri" w:hAnsi="Calibri" w:cs="Calibri"/>
              </w:rPr>
            </w:pPr>
            <w:r>
              <w:rPr>
                <w:rFonts w:ascii="Calibri"/>
                <w:b/>
                <w:color w:val="231F20"/>
              </w:rPr>
              <w:t>Challenge</w:t>
            </w:r>
          </w:p>
        </w:tc>
        <w:tc>
          <w:tcPr>
            <w:tcW w:w="5220" w:type="dxa"/>
            <w:gridSpan w:val="2"/>
            <w:tcBorders>
              <w:top w:val="single" w:sz="5" w:space="0" w:color="231F20"/>
              <w:left w:val="single" w:sz="5" w:space="0" w:color="231F20"/>
              <w:bottom w:val="single" w:sz="4" w:space="0" w:color="auto"/>
              <w:right w:val="single" w:sz="5" w:space="0" w:color="231F20"/>
            </w:tcBorders>
            <w:shd w:val="clear" w:color="auto" w:fill="DBE4F0"/>
          </w:tcPr>
          <w:p w:rsidR="00A64197" w:rsidRDefault="00A64197" w:rsidP="00A64197">
            <w:pPr>
              <w:pStyle w:val="TableParagraph"/>
              <w:spacing w:line="268" w:lineRule="exact"/>
              <w:ind w:left="37"/>
              <w:rPr>
                <w:rFonts w:ascii="Calibri" w:eastAsia="Calibri" w:hAnsi="Calibri" w:cs="Calibri"/>
              </w:rPr>
            </w:pPr>
            <w:r>
              <w:rPr>
                <w:rFonts w:ascii="Calibri"/>
                <w:b/>
                <w:color w:val="231F20"/>
              </w:rPr>
              <w:t>Mitigation</w:t>
            </w:r>
          </w:p>
        </w:tc>
      </w:tr>
      <w:tr w:rsidR="00A64197" w:rsidTr="00A64197">
        <w:trPr>
          <w:trHeight w:hRule="exact" w:val="4399"/>
        </w:trPr>
        <w:tc>
          <w:tcPr>
            <w:tcW w:w="5220" w:type="dxa"/>
            <w:tcBorders>
              <w:top w:val="single" w:sz="5" w:space="0" w:color="231F20"/>
              <w:left w:val="single" w:sz="5" w:space="0" w:color="231F20"/>
              <w:bottom w:val="single" w:sz="5" w:space="0" w:color="231F20"/>
              <w:right w:val="single" w:sz="5" w:space="0" w:color="231F20"/>
            </w:tcBorders>
          </w:tcPr>
          <w:p w:rsidR="00A64197" w:rsidRPr="00FC649F" w:rsidRDefault="00A64197" w:rsidP="00A64197">
            <w:pPr>
              <w:pStyle w:val="ListParagraph"/>
              <w:numPr>
                <w:ilvl w:val="0"/>
                <w:numId w:val="28"/>
              </w:numPr>
            </w:pPr>
            <w:r w:rsidRPr="00FC649F">
              <w:t>Changing from a focus on the acquisition of materiel solutions to the acquisition and consumption of services</w:t>
            </w:r>
            <w:r>
              <w:t>.</w:t>
            </w:r>
          </w:p>
          <w:p w:rsidR="00A64197" w:rsidRPr="00FC649F" w:rsidRDefault="00A64197" w:rsidP="00A64197">
            <w:pPr>
              <w:pStyle w:val="ListParagraph"/>
              <w:numPr>
                <w:ilvl w:val="0"/>
                <w:numId w:val="28"/>
              </w:numPr>
            </w:pPr>
            <w:r w:rsidRPr="00FC649F">
              <w:t>Establishing funding mechanisms that can rapidly adapt to changing demand to sustain the growth of widely used services</w:t>
            </w:r>
            <w:r>
              <w:t>.</w:t>
            </w:r>
          </w:p>
          <w:p w:rsidR="00A64197" w:rsidRPr="00FC649F" w:rsidRDefault="00A64197" w:rsidP="00A64197">
            <w:pPr>
              <w:pStyle w:val="ListParagraph"/>
              <w:numPr>
                <w:ilvl w:val="0"/>
                <w:numId w:val="28"/>
              </w:numPr>
            </w:pPr>
            <w:r w:rsidRPr="00FC649F">
              <w:t>Reducing or eliminating investment in underutilized and underperforming services</w:t>
            </w:r>
            <w:r>
              <w:t>.</w:t>
            </w:r>
          </w:p>
          <w:p w:rsidR="00A64197" w:rsidRDefault="00A64197" w:rsidP="00A64197">
            <w:pPr>
              <w:pStyle w:val="ListParagraph"/>
              <w:widowControl w:val="0"/>
              <w:tabs>
                <w:tab w:val="left" w:pos="443"/>
              </w:tabs>
              <w:spacing w:after="0"/>
              <w:ind w:left="442" w:right="237"/>
              <w:rPr>
                <w:rFonts w:ascii="Calibri" w:eastAsia="Calibri" w:hAnsi="Calibri" w:cs="Calibri"/>
              </w:rPr>
            </w:pPr>
          </w:p>
        </w:tc>
        <w:tc>
          <w:tcPr>
            <w:tcW w:w="5220" w:type="dxa"/>
            <w:gridSpan w:val="2"/>
            <w:tcBorders>
              <w:top w:val="single" w:sz="5" w:space="0" w:color="231F20"/>
              <w:left w:val="single" w:sz="5" w:space="0" w:color="231F20"/>
              <w:bottom w:val="single" w:sz="5" w:space="0" w:color="231F20"/>
              <w:right w:val="single" w:sz="5" w:space="0" w:color="231F20"/>
            </w:tcBorders>
          </w:tcPr>
          <w:p w:rsidR="00A64197" w:rsidRPr="00B46289" w:rsidRDefault="00A64197" w:rsidP="00A64197">
            <w:pPr>
              <w:pStyle w:val="ListParagraph"/>
              <w:numPr>
                <w:ilvl w:val="0"/>
                <w:numId w:val="28"/>
              </w:numPr>
            </w:pPr>
            <w:r w:rsidRPr="00B46289">
              <w:t>Establish policies and procedures for budgeting, funding, acquisition, and cost recovery that leverage a “fee-for-service” model</w:t>
            </w:r>
            <w:r>
              <w:t>.</w:t>
            </w:r>
          </w:p>
          <w:p w:rsidR="00A64197" w:rsidRPr="00623F7A" w:rsidRDefault="00A64197" w:rsidP="00A64197">
            <w:pPr>
              <w:pStyle w:val="ListParagraph"/>
              <w:numPr>
                <w:ilvl w:val="0"/>
                <w:numId w:val="28"/>
              </w:numPr>
            </w:pPr>
            <w:r w:rsidRPr="00623F7A">
              <w:t>Use a cloud broker function to manage the use, performance, and synchronized delivery of cloud</w:t>
            </w:r>
            <w:r>
              <w:t xml:space="preserve"> </w:t>
            </w:r>
            <w:r w:rsidRPr="00623F7A">
              <w:t>service offerings</w:t>
            </w:r>
            <w:r>
              <w:t>.</w:t>
            </w:r>
          </w:p>
          <w:p w:rsidR="00A64197" w:rsidRDefault="00A64197" w:rsidP="00A64197">
            <w:pPr>
              <w:pStyle w:val="ListParagraph"/>
              <w:numPr>
                <w:ilvl w:val="0"/>
                <w:numId w:val="28"/>
              </w:numPr>
            </w:pPr>
            <w:r w:rsidRPr="00623F7A">
              <w:t>Develop a budget strategy to fund initial cloud investments across the Department</w:t>
            </w:r>
            <w:r>
              <w:t>.</w:t>
            </w:r>
          </w:p>
          <w:p w:rsidR="00A64197" w:rsidRPr="00623F7A" w:rsidRDefault="00A64197" w:rsidP="00A64197">
            <w:pPr>
              <w:pStyle w:val="ListParagraph"/>
              <w:numPr>
                <w:ilvl w:val="0"/>
                <w:numId w:val="28"/>
              </w:numPr>
            </w:pPr>
            <w:r>
              <w:t>Establish standard contract language to address standards, security, privacy, e-discovery, FOIA access, and Federal recordkeeping.</w:t>
            </w:r>
          </w:p>
          <w:p w:rsidR="00A64197" w:rsidRPr="009F6E9A" w:rsidRDefault="00A64197" w:rsidP="00A64197">
            <w:pPr>
              <w:pStyle w:val="ListParagraph"/>
              <w:numPr>
                <w:ilvl w:val="0"/>
                <w:numId w:val="28"/>
              </w:numPr>
              <w:rPr>
                <w:rFonts w:eastAsia="Calibri"/>
              </w:rPr>
            </w:pPr>
            <w:r w:rsidRPr="00623F7A">
              <w:t>Reduce or eliminate investment in underutilized and underperforming services</w:t>
            </w:r>
            <w:r>
              <w:t xml:space="preserve"> through SLM periodic reporting.</w:t>
            </w:r>
          </w:p>
        </w:tc>
      </w:tr>
      <w:tr w:rsidR="00A64197" w:rsidTr="00A64197">
        <w:trPr>
          <w:trHeight w:hRule="exact" w:val="319"/>
        </w:trPr>
        <w:tc>
          <w:tcPr>
            <w:tcW w:w="10440" w:type="dxa"/>
            <w:gridSpan w:val="3"/>
            <w:tcBorders>
              <w:top w:val="single" w:sz="5" w:space="0" w:color="231F20"/>
              <w:left w:val="single" w:sz="5" w:space="0" w:color="231F20"/>
              <w:bottom w:val="single" w:sz="5" w:space="0" w:color="231F20"/>
              <w:right w:val="single" w:sz="5" w:space="0" w:color="231F20"/>
            </w:tcBorders>
            <w:shd w:val="clear" w:color="auto" w:fill="355F91"/>
          </w:tcPr>
          <w:p w:rsidR="00A64197" w:rsidRDefault="00A64197" w:rsidP="00A64197">
            <w:pPr>
              <w:pStyle w:val="TableParagraph"/>
              <w:spacing w:line="268" w:lineRule="exact"/>
              <w:ind w:left="37"/>
              <w:rPr>
                <w:rFonts w:ascii="Calibri" w:eastAsia="Calibri" w:hAnsi="Calibri" w:cs="Calibri"/>
              </w:rPr>
            </w:pPr>
            <w:r>
              <w:rPr>
                <w:rFonts w:ascii="Calibri"/>
                <w:b/>
                <w:color w:val="FFFFFF"/>
              </w:rPr>
              <w:t>Data Migration, Management, and Interoperability</w:t>
            </w:r>
          </w:p>
        </w:tc>
      </w:tr>
      <w:tr w:rsidR="00A64197" w:rsidRPr="003341FD" w:rsidTr="00A64197">
        <w:trPr>
          <w:trHeight w:hRule="exact" w:val="345"/>
        </w:trPr>
        <w:tc>
          <w:tcPr>
            <w:tcW w:w="5220" w:type="dxa"/>
            <w:tcBorders>
              <w:top w:val="single" w:sz="5" w:space="0" w:color="231F20"/>
              <w:left w:val="single" w:sz="5" w:space="0" w:color="231F20"/>
              <w:bottom w:val="single" w:sz="4" w:space="0" w:color="auto"/>
              <w:right w:val="single" w:sz="5" w:space="0" w:color="231F20"/>
            </w:tcBorders>
            <w:shd w:val="clear" w:color="auto" w:fill="DBE4F0"/>
          </w:tcPr>
          <w:p w:rsidR="00A64197" w:rsidRPr="003341FD" w:rsidRDefault="00A64197" w:rsidP="00A64197">
            <w:pPr>
              <w:pStyle w:val="TableParagraph"/>
              <w:spacing w:line="268" w:lineRule="exact"/>
              <w:ind w:left="37"/>
              <w:rPr>
                <w:rFonts w:ascii="Calibri"/>
                <w:b/>
                <w:color w:val="231F20"/>
              </w:rPr>
            </w:pPr>
            <w:r w:rsidRPr="003341FD">
              <w:rPr>
                <w:rFonts w:ascii="Calibri"/>
                <w:b/>
                <w:color w:val="231F20"/>
              </w:rPr>
              <w:t>Challenge</w:t>
            </w:r>
          </w:p>
        </w:tc>
        <w:tc>
          <w:tcPr>
            <w:tcW w:w="5220" w:type="dxa"/>
            <w:gridSpan w:val="2"/>
            <w:tcBorders>
              <w:top w:val="single" w:sz="4" w:space="0" w:color="auto"/>
              <w:bottom w:val="single" w:sz="4" w:space="0" w:color="auto"/>
              <w:right w:val="single" w:sz="4" w:space="0" w:color="auto"/>
            </w:tcBorders>
            <w:shd w:val="clear" w:color="auto" w:fill="DBE5F1" w:themeFill="accent1" w:themeFillTint="33"/>
          </w:tcPr>
          <w:p w:rsidR="00A64197" w:rsidRPr="003341FD" w:rsidRDefault="00A64197" w:rsidP="00A64197">
            <w:pPr>
              <w:pStyle w:val="TableParagraph"/>
              <w:spacing w:line="268" w:lineRule="exact"/>
              <w:ind w:left="37"/>
              <w:rPr>
                <w:rFonts w:ascii="Calibri"/>
                <w:b/>
                <w:color w:val="231F20"/>
              </w:rPr>
            </w:pPr>
            <w:r>
              <w:rPr>
                <w:rFonts w:ascii="Calibri"/>
                <w:b/>
                <w:color w:val="231F20"/>
              </w:rPr>
              <w:t>Mitigation</w:t>
            </w:r>
          </w:p>
        </w:tc>
      </w:tr>
      <w:tr w:rsidR="00A64197" w:rsidTr="00A64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5" w:type="dxa"/>
          <w:trHeight w:val="4260"/>
        </w:trPr>
        <w:tc>
          <w:tcPr>
            <w:tcW w:w="5220" w:type="dxa"/>
          </w:tcPr>
          <w:p w:rsidR="00A64197" w:rsidRPr="0064066E" w:rsidRDefault="00A64197" w:rsidP="00A64197">
            <w:pPr>
              <w:pStyle w:val="ListParagraph"/>
              <w:numPr>
                <w:ilvl w:val="0"/>
                <w:numId w:val="29"/>
              </w:numPr>
            </w:pPr>
            <w:r w:rsidRPr="00FC649F">
              <w:t xml:space="preserve">Ensuring data ownership and transportability of data from one </w:t>
            </w:r>
            <w:r>
              <w:t>service</w:t>
            </w:r>
            <w:r w:rsidRPr="00FC649F">
              <w:t xml:space="preserve"> provider to another</w:t>
            </w:r>
          </w:p>
          <w:p w:rsidR="00A64197" w:rsidRPr="0064066E" w:rsidRDefault="00A64197" w:rsidP="00A64197">
            <w:pPr>
              <w:pStyle w:val="ListParagraph"/>
              <w:numPr>
                <w:ilvl w:val="0"/>
                <w:numId w:val="29"/>
              </w:numPr>
            </w:pPr>
            <w:r w:rsidRPr="0064066E">
              <w:t>Ensuring that data and applications hosted in the various service</w:t>
            </w:r>
            <w:r>
              <w:t xml:space="preserve"> environments</w:t>
            </w:r>
            <w:r w:rsidRPr="0064066E">
              <w:t xml:space="preserve"> can be discovered, accessed, stored, used, and protected among various D</w:t>
            </w:r>
            <w:r>
              <w:t>HS</w:t>
            </w:r>
            <w:r w:rsidRPr="0064066E">
              <w:t xml:space="preserve"> components and </w:t>
            </w:r>
            <w:r>
              <w:t>homeland security</w:t>
            </w:r>
            <w:r w:rsidRPr="0064066E">
              <w:t xml:space="preserve"> partners</w:t>
            </w:r>
          </w:p>
          <w:p w:rsidR="00A64197" w:rsidRPr="00780599" w:rsidRDefault="00A64197" w:rsidP="00A64197">
            <w:pPr>
              <w:pStyle w:val="ListParagraph"/>
              <w:numPr>
                <w:ilvl w:val="0"/>
                <w:numId w:val="29"/>
              </w:numPr>
              <w:rPr>
                <w:rFonts w:ascii="Calibri"/>
                <w:b/>
                <w:color w:val="231F20"/>
              </w:rPr>
            </w:pPr>
            <w:r w:rsidRPr="0064066E">
              <w:t>Ensuring that the hosting of D</w:t>
            </w:r>
            <w:r>
              <w:t xml:space="preserve">HS Component data by an external </w:t>
            </w:r>
            <w:r w:rsidRPr="0064066E">
              <w:t>service provider is subject to technical and contractual conditions that facilitate migration of the data to another provider or back to the D</w:t>
            </w:r>
            <w:r>
              <w:t>HS</w:t>
            </w:r>
            <w:r w:rsidRPr="0064066E">
              <w:t xml:space="preserve"> </w:t>
            </w:r>
            <w:r>
              <w:t>data owner</w:t>
            </w:r>
          </w:p>
          <w:p w:rsidR="00A64197" w:rsidRPr="003341FD" w:rsidRDefault="00A64197" w:rsidP="00A64197">
            <w:pPr>
              <w:pStyle w:val="ListParagraph"/>
              <w:numPr>
                <w:ilvl w:val="0"/>
                <w:numId w:val="29"/>
              </w:numPr>
              <w:rPr>
                <w:rFonts w:ascii="Calibri"/>
                <w:b/>
                <w:color w:val="231F20"/>
              </w:rPr>
            </w:pPr>
            <w:r>
              <w:t>Ensuring data interoperability and secure information sharing with homeland security partners.</w:t>
            </w:r>
          </w:p>
        </w:tc>
        <w:tc>
          <w:tcPr>
            <w:tcW w:w="5205" w:type="dxa"/>
            <w:shd w:val="clear" w:color="auto" w:fill="auto"/>
          </w:tcPr>
          <w:p w:rsidR="00A64197" w:rsidRPr="007F49F5" w:rsidRDefault="00A64197" w:rsidP="00A64197">
            <w:pPr>
              <w:pStyle w:val="ListParagraph"/>
              <w:numPr>
                <w:ilvl w:val="0"/>
                <w:numId w:val="29"/>
              </w:numPr>
            </w:pPr>
            <w:r w:rsidRPr="007F49F5">
              <w:t>Enforce use of risk assessments that consider exposure to the legal, law enforcement, and national security requirements of within the hosted environment.</w:t>
            </w:r>
          </w:p>
          <w:p w:rsidR="00A64197" w:rsidRPr="00623F7A" w:rsidRDefault="00A64197" w:rsidP="00A64197">
            <w:pPr>
              <w:pStyle w:val="ListParagraph"/>
              <w:numPr>
                <w:ilvl w:val="0"/>
                <w:numId w:val="29"/>
              </w:numPr>
            </w:pPr>
            <w:r w:rsidRPr="00623F7A">
              <w:t>Ensure Service Level Agreements (SLAs) are written to address D</w:t>
            </w:r>
            <w:r>
              <w:t>HS</w:t>
            </w:r>
            <w:r w:rsidRPr="00623F7A">
              <w:t xml:space="preserve"> </w:t>
            </w:r>
            <w:r>
              <w:t>information</w:t>
            </w:r>
            <w:r w:rsidRPr="00623F7A">
              <w:t xml:space="preserve"> assurance and data confidentiality and availability requirements</w:t>
            </w:r>
            <w:r>
              <w:t>.</w:t>
            </w:r>
          </w:p>
          <w:p w:rsidR="00A64197" w:rsidRPr="00C07D9E" w:rsidRDefault="00A64197" w:rsidP="00A64197">
            <w:pPr>
              <w:pStyle w:val="ListParagraph"/>
              <w:numPr>
                <w:ilvl w:val="0"/>
                <w:numId w:val="29"/>
              </w:numPr>
              <w:rPr>
                <w:rFonts w:ascii="Calibri"/>
                <w:b/>
                <w:color w:val="231F20"/>
              </w:rPr>
            </w:pPr>
            <w:r w:rsidRPr="00623F7A">
              <w:t>Require and enforce the adoption</w:t>
            </w:r>
            <w:r>
              <w:t xml:space="preserve"> DHS information sharing approved services</w:t>
            </w:r>
            <w:r w:rsidRPr="00623F7A">
              <w:t xml:space="preserve"> </w:t>
            </w:r>
            <w:r>
              <w:t xml:space="preserve">to enable </w:t>
            </w:r>
            <w:r w:rsidRPr="00623F7A">
              <w:t xml:space="preserve">enterprise </w:t>
            </w:r>
            <w:r>
              <w:t>search, discovery, and access of data.</w:t>
            </w:r>
          </w:p>
        </w:tc>
      </w:tr>
    </w:tbl>
    <w:p w:rsidR="008635EB" w:rsidRPr="00E04ABD" w:rsidRDefault="00B561DB" w:rsidP="005A1AFD">
      <w:pPr>
        <w:pStyle w:val="Heading1"/>
      </w:pPr>
      <w:bookmarkStart w:id="21" w:name="_Toc475636841"/>
      <w:bookmarkStart w:id="22" w:name="_GoBack"/>
      <w:bookmarkEnd w:id="22"/>
      <w:r w:rsidRPr="00E04ABD">
        <w:lastRenderedPageBreak/>
        <w:t xml:space="preserve">Transition Metrics and </w:t>
      </w:r>
      <w:r w:rsidR="008635EB" w:rsidRPr="00E04ABD">
        <w:t>Schedule</w:t>
      </w:r>
      <w:bookmarkEnd w:id="21"/>
    </w:p>
    <w:p w:rsidR="00767E95" w:rsidRPr="002251F8" w:rsidRDefault="00627128" w:rsidP="00767E95">
      <w:r>
        <w:t xml:space="preserve">This section addresses the </w:t>
      </w:r>
      <w:r w:rsidR="00767E95" w:rsidRPr="002251F8">
        <w:t>DHS</w:t>
      </w:r>
      <w:r>
        <w:t xml:space="preserve"> requirement to </w:t>
      </w:r>
      <w:r w:rsidR="00F67C38">
        <w:t>report FY2016</w:t>
      </w:r>
      <w:r w:rsidR="000F4FA7">
        <w:t xml:space="preserve"> </w:t>
      </w:r>
      <w:r w:rsidR="00F67C38">
        <w:t xml:space="preserve">actual </w:t>
      </w:r>
      <w:r w:rsidR="00F67C38" w:rsidRPr="002251F8">
        <w:t>and</w:t>
      </w:r>
      <w:r w:rsidR="00767E95" w:rsidRPr="002251F8">
        <w:t xml:space="preserve"> </w:t>
      </w:r>
      <w:r w:rsidR="000F4FA7">
        <w:t xml:space="preserve">FY2017 and FY2018 </w:t>
      </w:r>
      <w:r w:rsidR="00767E95" w:rsidRPr="002251F8">
        <w:t>projected performance</w:t>
      </w:r>
      <w:r w:rsidR="000F4FA7">
        <w:t xml:space="preserve">, </w:t>
      </w:r>
      <w:r w:rsidR="00767E95" w:rsidRPr="002251F8">
        <w:t>cost</w:t>
      </w:r>
      <w:r>
        <w:t>, and transition plans</w:t>
      </w:r>
      <w:r w:rsidR="00767E95" w:rsidRPr="002251F8">
        <w:t xml:space="preserve"> for</w:t>
      </w:r>
      <w:r w:rsidR="000F4FA7">
        <w:t xml:space="preserve"> tiered agency owned </w:t>
      </w:r>
      <w:r w:rsidR="00767E95" w:rsidRPr="002251F8">
        <w:t>legacy data centers</w:t>
      </w:r>
      <w:r>
        <w:t>.</w:t>
      </w:r>
      <w:r w:rsidR="000F4FA7">
        <w:t>.</w:t>
      </w:r>
      <w:r w:rsidR="00767E95" w:rsidRPr="002251F8">
        <w:t xml:space="preserve">, </w:t>
      </w:r>
    </w:p>
    <w:p w:rsidR="00767E95" w:rsidRPr="00E04ABD" w:rsidRDefault="00767E95" w:rsidP="00767E95">
      <w:pPr>
        <w:pStyle w:val="Heading2"/>
      </w:pPr>
      <w:bookmarkStart w:id="23" w:name="_Toc475636842"/>
      <w:r w:rsidRPr="00E04ABD">
        <w:t>Compliance with DCOI Scope and Definitions</w:t>
      </w:r>
      <w:bookmarkEnd w:id="23"/>
    </w:p>
    <w:p w:rsidR="00767E95" w:rsidRPr="002251F8" w:rsidRDefault="006E33C8" w:rsidP="00767E95">
      <w:r w:rsidRPr="002251F8">
        <w:rPr>
          <w:b/>
        </w:rPr>
        <w:t>Scope and Definitions</w:t>
      </w:r>
      <w:r w:rsidRPr="002251F8">
        <w:t xml:space="preserve">:  </w:t>
      </w:r>
      <w:r w:rsidR="00767E95" w:rsidRPr="002251F8">
        <w:t>The DHS CIO and DHS Component CIO’s will maintain complete inventories of all data center facilities meeting the OMB Memorandum M-16-19 definition of a data center,</w:t>
      </w:r>
      <w:r w:rsidR="00767E95" w:rsidRPr="002251F8">
        <w:rPr>
          <w:rStyle w:val="FootnoteReference"/>
        </w:rPr>
        <w:footnoteReference w:id="49"/>
      </w:r>
      <w:r w:rsidR="00767E95" w:rsidRPr="002251F8">
        <w:t xml:space="preserve"> closure/consolidation plans, and properties of each tiered and non-tiered facility</w:t>
      </w:r>
      <w:r w:rsidR="00767E95" w:rsidRPr="002251F8">
        <w:rPr>
          <w:rStyle w:val="FootnoteReference"/>
        </w:rPr>
        <w:footnoteReference w:id="50"/>
      </w:r>
      <w:r w:rsidR="00767E95" w:rsidRPr="002251F8">
        <w:t xml:space="preserve"> that is owned, operated, or maintained by or on behalf of the agency.</w:t>
      </w:r>
      <w:r w:rsidR="00767E95" w:rsidRPr="002251F8">
        <w:rPr>
          <w:rStyle w:val="FootnoteReference"/>
        </w:rPr>
        <w:footnoteReference w:id="51"/>
      </w:r>
      <w:r w:rsidR="00767E95" w:rsidRPr="002251F8">
        <w:t xml:space="preserve">  Component CIO’s will provide quarterly updates of data center facilities according to the DCOI definition that will meet the following minimum requirements.</w:t>
      </w:r>
    </w:p>
    <w:p w:rsidR="00767E95" w:rsidRPr="00A64197" w:rsidRDefault="00767E95" w:rsidP="00742544">
      <w:pPr>
        <w:pStyle w:val="ListParagraph"/>
        <w:numPr>
          <w:ilvl w:val="0"/>
          <w:numId w:val="35"/>
        </w:numPr>
      </w:pPr>
      <w:r w:rsidRPr="00A64197">
        <w:t>Data will be provided in response to</w:t>
      </w:r>
      <w:r w:rsidR="00485E31">
        <w:t xml:space="preserve"> commodity IT data calls from the </w:t>
      </w:r>
      <w:r w:rsidR="003B3DB8">
        <w:t xml:space="preserve">Office </w:t>
      </w:r>
      <w:r w:rsidRPr="00A64197">
        <w:t>of the DHS CIO</w:t>
      </w:r>
      <w:r w:rsidR="00CF7F60">
        <w:t>.</w:t>
      </w:r>
    </w:p>
    <w:p w:rsidR="00767E95" w:rsidRDefault="00767E95" w:rsidP="00742544">
      <w:pPr>
        <w:pStyle w:val="ListParagraph"/>
        <w:numPr>
          <w:ilvl w:val="0"/>
          <w:numId w:val="35"/>
        </w:numPr>
      </w:pPr>
      <w:r w:rsidRPr="00A64197">
        <w:t xml:space="preserve">Data </w:t>
      </w:r>
      <w:r w:rsidR="003B3DB8">
        <w:t xml:space="preserve">provided by DHS Components to the DHS CIO </w:t>
      </w:r>
      <w:r w:rsidRPr="00A64197">
        <w:t xml:space="preserve">will include progress toward meeting all optimization metric target values for all reported data centers owned, operated, or maintained by or on behalf of DHS, its Components and Programs. Components </w:t>
      </w:r>
      <w:r w:rsidRPr="00A64197">
        <w:lastRenderedPageBreak/>
        <w:t>participating as a tenant in an inter-agency shared services provider data center will be required to report these metric values to the DHS CIO as part of the quarterly updates.</w:t>
      </w:r>
    </w:p>
    <w:p w:rsidR="00100DE2" w:rsidRPr="00A64197" w:rsidRDefault="00100DE2" w:rsidP="00100DE2">
      <w:pPr>
        <w:pStyle w:val="ListParagraph"/>
        <w:numPr>
          <w:ilvl w:val="0"/>
          <w:numId w:val="35"/>
        </w:numPr>
      </w:pPr>
      <w:r>
        <w:t>This data is being used by the DHS CIO to engage with Component CIOs in a discussion of current performance and changes required and recommended to achieve DHS data center performance, consolidation, cloud transition, and other optimization objectives consistent with OMB Memorandum M-16-19.</w:t>
      </w:r>
      <w:r w:rsidRPr="00A64197">
        <w:t xml:space="preserve"> </w:t>
      </w:r>
    </w:p>
    <w:p w:rsidR="00767E95" w:rsidRPr="00A64197" w:rsidRDefault="00767E95" w:rsidP="00767E95">
      <w:r w:rsidRPr="00A64197">
        <w:t>The DHS OCIO will use this data to evaluate the costs of operating, maintaining, and using current facilities and develop year-by-year targets for cost savings and cost avoidance due to consolidation and optimization for fiscal years 2016 through 2018.  In addition,</w:t>
      </w:r>
      <w:r w:rsidR="003B3DB8">
        <w:t xml:space="preserve"> the DHS CIO</w:t>
      </w:r>
      <w:r w:rsidRPr="00A64197">
        <w:t xml:space="preserve"> will benchmark performance and cost across DHS and report all realized cost savings and cost avoidance</w:t>
      </w:r>
      <w:r w:rsidR="00393F82" w:rsidRPr="00A64197">
        <w:t xml:space="preserve"> on behalf of the DHS CIO</w:t>
      </w:r>
      <w:r w:rsidRPr="00A64197">
        <w:t>.</w:t>
      </w:r>
    </w:p>
    <w:p w:rsidR="001C3E09" w:rsidRDefault="006E33C8" w:rsidP="00767E95">
      <w:r w:rsidRPr="00A64197">
        <w:rPr>
          <w:b/>
        </w:rPr>
        <w:t>Status</w:t>
      </w:r>
      <w:r w:rsidRPr="00A64197">
        <w:t xml:space="preserve">:  </w:t>
      </w:r>
      <w:r w:rsidR="007F25B1">
        <w:t>DHS Components have reported</w:t>
      </w:r>
      <w:r w:rsidR="00123AFB" w:rsidRPr="00A64197">
        <w:t xml:space="preserve"> a total of </w:t>
      </w:r>
      <w:r w:rsidR="00D73A95">
        <w:t>256</w:t>
      </w:r>
      <w:r w:rsidR="00123AFB" w:rsidRPr="00A64197">
        <w:t xml:space="preserve"> facilities </w:t>
      </w:r>
      <w:r w:rsidR="007F25B1">
        <w:t>approaching 200,000</w:t>
      </w:r>
      <w:r w:rsidR="00283D6B">
        <w:t xml:space="preserve"> square feet</w:t>
      </w:r>
      <w:r w:rsidR="00B00D18">
        <w:t xml:space="preserve"> of hosted GFA </w:t>
      </w:r>
      <w:r w:rsidR="00123AFB" w:rsidRPr="00A64197">
        <w:t>that meet the DCOI definition of a data center.</w:t>
      </w:r>
    </w:p>
    <w:p w:rsidR="007F25B1" w:rsidRPr="00E04ABD" w:rsidRDefault="007F25B1" w:rsidP="007F25B1">
      <w:pPr>
        <w:pStyle w:val="Heading3"/>
        <w:rPr>
          <w:b w:val="0"/>
        </w:rPr>
      </w:pPr>
      <w:bookmarkStart w:id="24" w:name="_Toc475636843"/>
      <w:r w:rsidRPr="00E04ABD">
        <w:rPr>
          <w:b w:val="0"/>
        </w:rPr>
        <w:t>Tiered DHS Data Centers</w:t>
      </w:r>
      <w:bookmarkEnd w:id="24"/>
    </w:p>
    <w:p w:rsidR="00451557" w:rsidRDefault="001C3E09" w:rsidP="00767E95">
      <w:r>
        <w:t>Twenty-six (</w:t>
      </w:r>
      <w:r w:rsidR="00B00D18">
        <w:t>26</w:t>
      </w:r>
      <w:r>
        <w:t>)</w:t>
      </w:r>
      <w:r w:rsidR="00B00D18">
        <w:t xml:space="preserve"> of these are tiered data centers and this small number repre</w:t>
      </w:r>
      <w:r w:rsidR="00283D6B">
        <w:t>sents over 177,723</w:t>
      </w:r>
      <w:r w:rsidR="00451557">
        <w:t xml:space="preserve"> </w:t>
      </w:r>
      <w:r>
        <w:t xml:space="preserve">square feet </w:t>
      </w:r>
      <w:r w:rsidR="00451557">
        <w:t>of hosted GFA.</w:t>
      </w:r>
      <w:r>
        <w:t xml:space="preserve"> </w:t>
      </w:r>
      <w:r w:rsidR="004E40EA">
        <w:t xml:space="preserve">A breakdown of these data centers is shown in the following table.  </w:t>
      </w:r>
      <w:r>
        <w:t xml:space="preserve">The two DHS Enterprise Data Centers represent </w:t>
      </w:r>
      <w:r w:rsidR="004E40EA">
        <w:t>51% of tiered GFA</w:t>
      </w:r>
      <w:r w:rsidR="00283D6B">
        <w:t xml:space="preserve">.  Another 45,448 square feet of legacy data center operations, in 11 facilities, representing 26% of tiered GFA, are considering or in process of transition to enterprise and/or Cloud solutions that will results in closing these legacy facilities. </w:t>
      </w:r>
      <w:r w:rsidR="00E36A43">
        <w:t xml:space="preserve">The transition planning and execution of these facilities are subject to the availability of Component budgetary resources.  However, the completion of transition and closure of these facilities offers significant </w:t>
      </w:r>
      <w:r w:rsidR="001A6F7F">
        <w:t xml:space="preserve">new consolidation and savings prospects and so </w:t>
      </w:r>
      <w:r w:rsidR="00E36A43">
        <w:t>will be of primary interest to DHS</w:t>
      </w:r>
      <w:r w:rsidR="001A6F7F">
        <w:t xml:space="preserve">.  The DHS CIO will be a continuing advocate for transition of these facilities </w:t>
      </w:r>
      <w:r w:rsidR="00F67C38">
        <w:t>until these</w:t>
      </w:r>
      <w:r w:rsidR="001A6F7F">
        <w:t xml:space="preserve"> </w:t>
      </w:r>
      <w:r w:rsidR="00F67C38">
        <w:t>Components have</w:t>
      </w:r>
      <w:r w:rsidR="00E36A43">
        <w:t xml:space="preserve"> completed the move to hosting environments that achieve DHS</w:t>
      </w:r>
      <w:r w:rsidR="00544473">
        <w:t xml:space="preserve"> and OMB</w:t>
      </w:r>
      <w:r w:rsidR="00E36A43">
        <w:t xml:space="preserve"> Enterprise Computing and Cloud transition objectives. </w:t>
      </w:r>
    </w:p>
    <w:p w:rsidR="004E40EA" w:rsidRDefault="00AB5A89" w:rsidP="00AB5A89">
      <w:pPr>
        <w:pStyle w:val="Caption"/>
        <w:jc w:val="center"/>
      </w:pPr>
      <w:bookmarkStart w:id="25" w:name="_Toc475635603"/>
      <w:proofErr w:type="gramStart"/>
      <w:r>
        <w:t xml:space="preserve">Figure </w:t>
      </w:r>
      <w:fldSimple w:instr=" SEQ Figure \* ARABIC ">
        <w:r w:rsidR="00C63078">
          <w:rPr>
            <w:noProof/>
          </w:rPr>
          <w:t>3</w:t>
        </w:r>
      </w:fldSimple>
      <w:r>
        <w:t>.</w:t>
      </w:r>
      <w:proofErr w:type="gramEnd"/>
      <w:r>
        <w:t xml:space="preserve"> Breakdown of DHS Tiered Data Centers</w:t>
      </w:r>
      <w:bookmarkEnd w:id="25"/>
    </w:p>
    <w:tbl>
      <w:tblPr>
        <w:tblStyle w:val="TableGrid"/>
        <w:tblW w:w="0" w:type="auto"/>
        <w:tblLook w:val="04A0" w:firstRow="1" w:lastRow="0" w:firstColumn="1" w:lastColumn="0" w:noHBand="0" w:noVBand="1"/>
      </w:tblPr>
      <w:tblGrid>
        <w:gridCol w:w="2059"/>
        <w:gridCol w:w="2617"/>
        <w:gridCol w:w="1712"/>
        <w:gridCol w:w="1217"/>
        <w:gridCol w:w="1207"/>
        <w:gridCol w:w="1084"/>
      </w:tblGrid>
      <w:tr w:rsidR="00675813" w:rsidTr="001A6F7F">
        <w:trPr>
          <w:tblHeader/>
        </w:trPr>
        <w:tc>
          <w:tcPr>
            <w:tcW w:w="2374" w:type="dxa"/>
            <w:vAlign w:val="center"/>
          </w:tcPr>
          <w:p w:rsidR="00675813" w:rsidRDefault="00675813" w:rsidP="00675813">
            <w:pPr>
              <w:jc w:val="center"/>
            </w:pPr>
            <w:r>
              <w:t>Tiered Data Center Categories</w:t>
            </w:r>
          </w:p>
        </w:tc>
        <w:tc>
          <w:tcPr>
            <w:tcW w:w="1793" w:type="dxa"/>
            <w:vAlign w:val="center"/>
          </w:tcPr>
          <w:p w:rsidR="00675813" w:rsidRDefault="00675813" w:rsidP="00675813">
            <w:pPr>
              <w:jc w:val="center"/>
            </w:pPr>
            <w:r>
              <w:t>Component</w:t>
            </w:r>
            <w:r w:rsidR="0024010A">
              <w:t>s</w:t>
            </w:r>
          </w:p>
        </w:tc>
        <w:tc>
          <w:tcPr>
            <w:tcW w:w="1895" w:type="dxa"/>
            <w:vAlign w:val="center"/>
          </w:tcPr>
          <w:p w:rsidR="00675813" w:rsidRDefault="00675813" w:rsidP="00675813">
            <w:pPr>
              <w:jc w:val="center"/>
            </w:pPr>
            <w:r>
              <w:t>Reported</w:t>
            </w:r>
          </w:p>
          <w:p w:rsidR="00675813" w:rsidRDefault="00675813" w:rsidP="00675813">
            <w:pPr>
              <w:jc w:val="center"/>
            </w:pPr>
            <w:r>
              <w:t>Ownership</w:t>
            </w:r>
          </w:p>
          <w:p w:rsidR="00675813" w:rsidRDefault="00675813" w:rsidP="00675813">
            <w:pPr>
              <w:jc w:val="center"/>
            </w:pPr>
            <w:r>
              <w:t>Type</w:t>
            </w:r>
          </w:p>
        </w:tc>
        <w:tc>
          <w:tcPr>
            <w:tcW w:w="1318" w:type="dxa"/>
            <w:vAlign w:val="center"/>
          </w:tcPr>
          <w:p w:rsidR="00675813" w:rsidRDefault="00675813" w:rsidP="00675813">
            <w:pPr>
              <w:jc w:val="center"/>
            </w:pPr>
            <w:r>
              <w:t>Number of Data Centers</w:t>
            </w:r>
          </w:p>
        </w:tc>
        <w:tc>
          <w:tcPr>
            <w:tcW w:w="1306" w:type="dxa"/>
            <w:vAlign w:val="center"/>
          </w:tcPr>
          <w:p w:rsidR="00675813" w:rsidRDefault="00675813" w:rsidP="00675813">
            <w:pPr>
              <w:jc w:val="center"/>
            </w:pPr>
            <w:r>
              <w:t>GFA</w:t>
            </w:r>
          </w:p>
          <w:p w:rsidR="00675813" w:rsidRDefault="00675813" w:rsidP="00675813">
            <w:pPr>
              <w:jc w:val="center"/>
            </w:pPr>
            <w:r>
              <w:t>(</w:t>
            </w:r>
            <w:proofErr w:type="gramStart"/>
            <w:r w:rsidR="00F67C38">
              <w:t>sq</w:t>
            </w:r>
            <w:proofErr w:type="gramEnd"/>
            <w:r w:rsidR="00F67C38">
              <w:t>.</w:t>
            </w:r>
            <w:r>
              <w:t xml:space="preserve"> </w:t>
            </w:r>
            <w:r w:rsidR="00F67C38">
              <w:t>ft.</w:t>
            </w:r>
            <w:r>
              <w:t>)</w:t>
            </w:r>
          </w:p>
        </w:tc>
        <w:tc>
          <w:tcPr>
            <w:tcW w:w="1210" w:type="dxa"/>
            <w:vAlign w:val="center"/>
          </w:tcPr>
          <w:p w:rsidR="00675813" w:rsidRDefault="00675813" w:rsidP="00675813">
            <w:pPr>
              <w:jc w:val="center"/>
            </w:pPr>
            <w:r>
              <w:t>% of Total GFA</w:t>
            </w:r>
          </w:p>
        </w:tc>
      </w:tr>
      <w:tr w:rsidR="00675813" w:rsidTr="00283D6B">
        <w:tc>
          <w:tcPr>
            <w:tcW w:w="2374" w:type="dxa"/>
          </w:tcPr>
          <w:p w:rsidR="00675813" w:rsidRDefault="00675813" w:rsidP="00767E95">
            <w:r>
              <w:t>DHS Enterprise Data Centers</w:t>
            </w:r>
          </w:p>
        </w:tc>
        <w:tc>
          <w:tcPr>
            <w:tcW w:w="1793" w:type="dxa"/>
          </w:tcPr>
          <w:p w:rsidR="00675813" w:rsidRDefault="0024010A" w:rsidP="00767E95">
            <w:r>
              <w:t xml:space="preserve">DHS CIO </w:t>
            </w:r>
            <w:r w:rsidR="00675813">
              <w:t>Enterprise</w:t>
            </w:r>
          </w:p>
        </w:tc>
        <w:tc>
          <w:tcPr>
            <w:tcW w:w="1895" w:type="dxa"/>
          </w:tcPr>
          <w:p w:rsidR="00675813" w:rsidRDefault="00675813" w:rsidP="00767E95">
            <w:r>
              <w:t>Outsourced</w:t>
            </w:r>
          </w:p>
        </w:tc>
        <w:tc>
          <w:tcPr>
            <w:tcW w:w="1318" w:type="dxa"/>
          </w:tcPr>
          <w:p w:rsidR="00675813" w:rsidRDefault="00675813" w:rsidP="00283D6B">
            <w:pPr>
              <w:jc w:val="center"/>
            </w:pPr>
            <w:r>
              <w:t>2</w:t>
            </w:r>
          </w:p>
        </w:tc>
        <w:tc>
          <w:tcPr>
            <w:tcW w:w="1306" w:type="dxa"/>
          </w:tcPr>
          <w:p w:rsidR="00675813" w:rsidRDefault="00675813" w:rsidP="00AB5A89">
            <w:pPr>
              <w:jc w:val="right"/>
            </w:pPr>
            <w:r>
              <w:t>90,969</w:t>
            </w:r>
          </w:p>
        </w:tc>
        <w:tc>
          <w:tcPr>
            <w:tcW w:w="1210" w:type="dxa"/>
          </w:tcPr>
          <w:p w:rsidR="00675813" w:rsidRDefault="00283D6B" w:rsidP="00283D6B">
            <w:pPr>
              <w:jc w:val="right"/>
            </w:pPr>
            <w:r>
              <w:t>51%</w:t>
            </w:r>
          </w:p>
        </w:tc>
      </w:tr>
      <w:tr w:rsidR="001A440C" w:rsidTr="00283D6B">
        <w:tc>
          <w:tcPr>
            <w:tcW w:w="2374" w:type="dxa"/>
          </w:tcPr>
          <w:p w:rsidR="001A440C" w:rsidRDefault="00362DBE" w:rsidP="00767E95">
            <w:r>
              <w:t>Migration Execution</w:t>
            </w:r>
          </w:p>
        </w:tc>
        <w:tc>
          <w:tcPr>
            <w:tcW w:w="1793" w:type="dxa"/>
          </w:tcPr>
          <w:p w:rsidR="001A440C" w:rsidRDefault="00362DBE" w:rsidP="00767E95">
            <w:r>
              <w:t>TSA</w:t>
            </w:r>
          </w:p>
        </w:tc>
        <w:tc>
          <w:tcPr>
            <w:tcW w:w="1895" w:type="dxa"/>
          </w:tcPr>
          <w:p w:rsidR="001A440C" w:rsidRDefault="00362DBE" w:rsidP="00767E95">
            <w:r>
              <w:t>Co-located</w:t>
            </w:r>
          </w:p>
        </w:tc>
        <w:tc>
          <w:tcPr>
            <w:tcW w:w="1318" w:type="dxa"/>
          </w:tcPr>
          <w:p w:rsidR="001A440C" w:rsidRDefault="00362DBE" w:rsidP="00283D6B">
            <w:pPr>
              <w:jc w:val="center"/>
            </w:pPr>
            <w:r>
              <w:t>1</w:t>
            </w:r>
          </w:p>
        </w:tc>
        <w:tc>
          <w:tcPr>
            <w:tcW w:w="1306" w:type="dxa"/>
          </w:tcPr>
          <w:p w:rsidR="001A440C" w:rsidRDefault="00362DBE" w:rsidP="00AB5A89">
            <w:pPr>
              <w:jc w:val="right"/>
            </w:pPr>
            <w:r>
              <w:t>1,800</w:t>
            </w:r>
          </w:p>
        </w:tc>
        <w:tc>
          <w:tcPr>
            <w:tcW w:w="1210" w:type="dxa"/>
          </w:tcPr>
          <w:p w:rsidR="001A440C" w:rsidRDefault="00283D6B" w:rsidP="00283D6B">
            <w:pPr>
              <w:jc w:val="right"/>
            </w:pPr>
            <w:r>
              <w:t>1%</w:t>
            </w:r>
          </w:p>
        </w:tc>
      </w:tr>
      <w:tr w:rsidR="00675813" w:rsidTr="00283D6B">
        <w:tc>
          <w:tcPr>
            <w:tcW w:w="2374" w:type="dxa"/>
          </w:tcPr>
          <w:p w:rsidR="00675813" w:rsidRDefault="00675813" w:rsidP="00767E95">
            <w:r>
              <w:t>Legacy Facilities Considering Enterprise Alternatives</w:t>
            </w:r>
          </w:p>
        </w:tc>
        <w:tc>
          <w:tcPr>
            <w:tcW w:w="1793" w:type="dxa"/>
          </w:tcPr>
          <w:p w:rsidR="00675813" w:rsidRDefault="00675813" w:rsidP="00767E95">
            <w:r>
              <w:t>CBP/FEMA/NPPD/S&amp;T</w:t>
            </w:r>
          </w:p>
          <w:p w:rsidR="00675813" w:rsidRDefault="00675813" w:rsidP="00767E95">
            <w:r>
              <w:t>USCIS/FEMA/USCG</w:t>
            </w:r>
          </w:p>
          <w:p w:rsidR="00675813" w:rsidRDefault="00675813" w:rsidP="00767E95">
            <w:r>
              <w:t>USCG</w:t>
            </w:r>
          </w:p>
        </w:tc>
        <w:tc>
          <w:tcPr>
            <w:tcW w:w="1895" w:type="dxa"/>
          </w:tcPr>
          <w:p w:rsidR="00675813" w:rsidRDefault="00675813" w:rsidP="00767E95">
            <w:r>
              <w:t>Outsourced</w:t>
            </w:r>
          </w:p>
          <w:p w:rsidR="00675813" w:rsidRDefault="00675813" w:rsidP="00767E95">
            <w:r>
              <w:t>Co-located</w:t>
            </w:r>
          </w:p>
          <w:p w:rsidR="00675813" w:rsidRDefault="0024010A" w:rsidP="00767E95">
            <w:r>
              <w:t>Agency o</w:t>
            </w:r>
            <w:r w:rsidR="00675813">
              <w:t>wned</w:t>
            </w:r>
          </w:p>
        </w:tc>
        <w:tc>
          <w:tcPr>
            <w:tcW w:w="1318" w:type="dxa"/>
          </w:tcPr>
          <w:p w:rsidR="00675813" w:rsidRDefault="00675813" w:rsidP="00283D6B">
            <w:pPr>
              <w:jc w:val="center"/>
            </w:pPr>
            <w:r>
              <w:t>6</w:t>
            </w:r>
          </w:p>
          <w:p w:rsidR="00675813" w:rsidRDefault="00675813" w:rsidP="00283D6B">
            <w:pPr>
              <w:jc w:val="center"/>
            </w:pPr>
            <w:r>
              <w:t>3</w:t>
            </w:r>
          </w:p>
          <w:p w:rsidR="00675813" w:rsidRDefault="00675813" w:rsidP="00283D6B">
            <w:pPr>
              <w:jc w:val="center"/>
            </w:pPr>
            <w:r>
              <w:t>1</w:t>
            </w:r>
          </w:p>
        </w:tc>
        <w:tc>
          <w:tcPr>
            <w:tcW w:w="1306" w:type="dxa"/>
          </w:tcPr>
          <w:p w:rsidR="00675813" w:rsidRDefault="00362DBE" w:rsidP="00AB5A89">
            <w:pPr>
              <w:jc w:val="right"/>
            </w:pPr>
            <w:r>
              <w:t>36</w:t>
            </w:r>
            <w:r w:rsidR="00675813">
              <w:t>,135</w:t>
            </w:r>
          </w:p>
          <w:p w:rsidR="00675813" w:rsidRDefault="00675813" w:rsidP="00AB5A89">
            <w:pPr>
              <w:jc w:val="right"/>
            </w:pPr>
            <w:r>
              <w:t>5,157</w:t>
            </w:r>
          </w:p>
          <w:p w:rsidR="00675813" w:rsidRDefault="00675813" w:rsidP="00AB5A89">
            <w:pPr>
              <w:jc w:val="right"/>
            </w:pPr>
            <w:r>
              <w:t>2,356</w:t>
            </w:r>
          </w:p>
        </w:tc>
        <w:tc>
          <w:tcPr>
            <w:tcW w:w="1210" w:type="dxa"/>
          </w:tcPr>
          <w:p w:rsidR="00675813" w:rsidRDefault="00283D6B" w:rsidP="00283D6B">
            <w:pPr>
              <w:jc w:val="right"/>
            </w:pPr>
            <w:r>
              <w:t>20%</w:t>
            </w:r>
          </w:p>
          <w:p w:rsidR="00283D6B" w:rsidRDefault="00283D6B" w:rsidP="00283D6B">
            <w:pPr>
              <w:jc w:val="right"/>
            </w:pPr>
            <w:r>
              <w:t>3%</w:t>
            </w:r>
          </w:p>
          <w:p w:rsidR="00283D6B" w:rsidRDefault="00283D6B" w:rsidP="00283D6B">
            <w:pPr>
              <w:jc w:val="right"/>
            </w:pPr>
            <w:r>
              <w:t>1%</w:t>
            </w:r>
          </w:p>
        </w:tc>
      </w:tr>
      <w:tr w:rsidR="00675813" w:rsidTr="00283D6B">
        <w:tc>
          <w:tcPr>
            <w:tcW w:w="2374" w:type="dxa"/>
          </w:tcPr>
          <w:p w:rsidR="00675813" w:rsidRDefault="00675813" w:rsidP="00767E95">
            <w:r>
              <w:t>Legacy Facilities Planning to Stay at Current Location</w:t>
            </w:r>
          </w:p>
        </w:tc>
        <w:tc>
          <w:tcPr>
            <w:tcW w:w="1793" w:type="dxa"/>
          </w:tcPr>
          <w:p w:rsidR="00675813" w:rsidRDefault="00675813" w:rsidP="00767E95">
            <w:r>
              <w:t>FEMA/TSA/USCG</w:t>
            </w:r>
          </w:p>
          <w:p w:rsidR="0024010A" w:rsidRDefault="0024010A" w:rsidP="00767E95">
            <w:r>
              <w:t>FEMA/TSA/USSS</w:t>
            </w:r>
          </w:p>
          <w:p w:rsidR="00675813" w:rsidRDefault="0024010A" w:rsidP="00767E95">
            <w:r>
              <w:t>FLETC/TSA/USSS</w:t>
            </w:r>
          </w:p>
        </w:tc>
        <w:tc>
          <w:tcPr>
            <w:tcW w:w="1895" w:type="dxa"/>
          </w:tcPr>
          <w:p w:rsidR="00675813" w:rsidRDefault="00675813" w:rsidP="00767E95">
            <w:r>
              <w:t>Outsourced</w:t>
            </w:r>
          </w:p>
          <w:p w:rsidR="0024010A" w:rsidRDefault="0024010A" w:rsidP="00767E95">
            <w:r>
              <w:t>Co-located</w:t>
            </w:r>
          </w:p>
          <w:p w:rsidR="0024010A" w:rsidRDefault="0024010A" w:rsidP="00767E95">
            <w:r>
              <w:t>Agency owned</w:t>
            </w:r>
          </w:p>
        </w:tc>
        <w:tc>
          <w:tcPr>
            <w:tcW w:w="1318" w:type="dxa"/>
          </w:tcPr>
          <w:p w:rsidR="00675813" w:rsidRDefault="00675813" w:rsidP="00283D6B">
            <w:pPr>
              <w:jc w:val="center"/>
            </w:pPr>
            <w:r>
              <w:t>3</w:t>
            </w:r>
          </w:p>
          <w:p w:rsidR="0024010A" w:rsidRDefault="0024010A" w:rsidP="00283D6B">
            <w:pPr>
              <w:jc w:val="center"/>
            </w:pPr>
            <w:r>
              <w:t>4</w:t>
            </w:r>
          </w:p>
          <w:p w:rsidR="0024010A" w:rsidRDefault="0024010A" w:rsidP="00283D6B">
            <w:pPr>
              <w:jc w:val="center"/>
            </w:pPr>
            <w:r>
              <w:t>6</w:t>
            </w:r>
          </w:p>
        </w:tc>
        <w:tc>
          <w:tcPr>
            <w:tcW w:w="1306" w:type="dxa"/>
          </w:tcPr>
          <w:p w:rsidR="00675813" w:rsidRDefault="00675813" w:rsidP="00AB5A89">
            <w:pPr>
              <w:jc w:val="right"/>
            </w:pPr>
            <w:r>
              <w:t>16,650</w:t>
            </w:r>
          </w:p>
          <w:p w:rsidR="0024010A" w:rsidRDefault="0024010A" w:rsidP="00AB5A89">
            <w:pPr>
              <w:jc w:val="right"/>
            </w:pPr>
            <w:r>
              <w:t>10,781</w:t>
            </w:r>
          </w:p>
          <w:p w:rsidR="0024010A" w:rsidRDefault="0024010A" w:rsidP="00AB5A89">
            <w:pPr>
              <w:jc w:val="right"/>
            </w:pPr>
            <w:r>
              <w:t>13,875</w:t>
            </w:r>
          </w:p>
        </w:tc>
        <w:tc>
          <w:tcPr>
            <w:tcW w:w="1210" w:type="dxa"/>
          </w:tcPr>
          <w:p w:rsidR="00675813" w:rsidRDefault="00283D6B" w:rsidP="00283D6B">
            <w:pPr>
              <w:jc w:val="right"/>
            </w:pPr>
            <w:r>
              <w:t>9%</w:t>
            </w:r>
          </w:p>
          <w:p w:rsidR="00283D6B" w:rsidRDefault="00283D6B" w:rsidP="00283D6B">
            <w:pPr>
              <w:jc w:val="right"/>
            </w:pPr>
            <w:r>
              <w:t>6%</w:t>
            </w:r>
          </w:p>
          <w:p w:rsidR="00283D6B" w:rsidRDefault="00283D6B" w:rsidP="00283D6B">
            <w:pPr>
              <w:jc w:val="right"/>
            </w:pPr>
            <w:r>
              <w:t>8%</w:t>
            </w:r>
          </w:p>
        </w:tc>
      </w:tr>
      <w:tr w:rsidR="00675813" w:rsidTr="00283D6B">
        <w:tc>
          <w:tcPr>
            <w:tcW w:w="2374" w:type="dxa"/>
          </w:tcPr>
          <w:p w:rsidR="00675813" w:rsidRPr="00544473" w:rsidRDefault="00283D6B" w:rsidP="00767E95">
            <w:pPr>
              <w:rPr>
                <w:b/>
              </w:rPr>
            </w:pPr>
            <w:r w:rsidRPr="00544473">
              <w:rPr>
                <w:b/>
              </w:rPr>
              <w:lastRenderedPageBreak/>
              <w:t>Totals</w:t>
            </w:r>
          </w:p>
        </w:tc>
        <w:tc>
          <w:tcPr>
            <w:tcW w:w="1793" w:type="dxa"/>
          </w:tcPr>
          <w:p w:rsidR="00675813" w:rsidRPr="00544473" w:rsidRDefault="00675813" w:rsidP="00767E95">
            <w:pPr>
              <w:rPr>
                <w:b/>
              </w:rPr>
            </w:pPr>
          </w:p>
        </w:tc>
        <w:tc>
          <w:tcPr>
            <w:tcW w:w="1895" w:type="dxa"/>
          </w:tcPr>
          <w:p w:rsidR="00675813" w:rsidRPr="00544473" w:rsidRDefault="00675813" w:rsidP="00767E95">
            <w:pPr>
              <w:rPr>
                <w:b/>
              </w:rPr>
            </w:pPr>
          </w:p>
        </w:tc>
        <w:tc>
          <w:tcPr>
            <w:tcW w:w="1318" w:type="dxa"/>
          </w:tcPr>
          <w:p w:rsidR="00675813" w:rsidRPr="00544473" w:rsidRDefault="00283D6B" w:rsidP="00283D6B">
            <w:pPr>
              <w:jc w:val="center"/>
              <w:rPr>
                <w:b/>
              </w:rPr>
            </w:pPr>
            <w:r w:rsidRPr="00544473">
              <w:rPr>
                <w:b/>
              </w:rPr>
              <w:t>26</w:t>
            </w:r>
          </w:p>
        </w:tc>
        <w:tc>
          <w:tcPr>
            <w:tcW w:w="1306" w:type="dxa"/>
          </w:tcPr>
          <w:p w:rsidR="00675813" w:rsidRPr="00544473" w:rsidRDefault="00283D6B" w:rsidP="00AB5A89">
            <w:pPr>
              <w:jc w:val="right"/>
              <w:rPr>
                <w:b/>
              </w:rPr>
            </w:pPr>
            <w:r w:rsidRPr="00544473">
              <w:rPr>
                <w:b/>
              </w:rPr>
              <w:t>177,723</w:t>
            </w:r>
          </w:p>
        </w:tc>
        <w:tc>
          <w:tcPr>
            <w:tcW w:w="1210" w:type="dxa"/>
          </w:tcPr>
          <w:p w:rsidR="00675813" w:rsidRPr="00544473" w:rsidRDefault="00283D6B" w:rsidP="00283D6B">
            <w:pPr>
              <w:jc w:val="right"/>
              <w:rPr>
                <w:b/>
              </w:rPr>
            </w:pPr>
            <w:r w:rsidRPr="00544473">
              <w:rPr>
                <w:b/>
              </w:rPr>
              <w:t>100%</w:t>
            </w:r>
          </w:p>
        </w:tc>
      </w:tr>
    </w:tbl>
    <w:p w:rsidR="004E40EA" w:rsidRDefault="004E40EA" w:rsidP="00767E95"/>
    <w:p w:rsidR="00544473" w:rsidRDefault="00544473" w:rsidP="00767E95">
      <w:r>
        <w:t xml:space="preserve">The DHS CIO will also be dialoguing with </w:t>
      </w:r>
      <w:r w:rsidR="002072CB">
        <w:t xml:space="preserve">Components about disposition of the 13 </w:t>
      </w:r>
      <w:r w:rsidR="006266BC">
        <w:t xml:space="preserve">legacy facilities and 41,306 square </w:t>
      </w:r>
      <w:r w:rsidR="007F25B1">
        <w:t>feet of GFA for which Components</w:t>
      </w:r>
      <w:r w:rsidR="006266BC">
        <w:t xml:space="preserve"> reported no plans to close current facilities.  The focus will be to validate Component performance status and verify Component plans to optimize performance at these data centers if they are not already compliant.  </w:t>
      </w:r>
      <w:r w:rsidR="00A843D6">
        <w:t>There are no assumptions as of the date of this report about the roadmap to optimization for these facilities but the dialogue will include review of hosting alternatives where information from Components indicates that there may be consolidation and/or Cloud solutions that cost effectively meet both performance and mission needs of these data centers.</w:t>
      </w:r>
    </w:p>
    <w:p w:rsidR="007F25B1" w:rsidRPr="00E04ABD" w:rsidRDefault="007F25B1" w:rsidP="007F25B1">
      <w:pPr>
        <w:pStyle w:val="Heading3"/>
        <w:rPr>
          <w:b w:val="0"/>
        </w:rPr>
      </w:pPr>
      <w:bookmarkStart w:id="26" w:name="_Toc475636844"/>
      <w:r w:rsidRPr="00E04ABD">
        <w:rPr>
          <w:b w:val="0"/>
        </w:rPr>
        <w:t>Non-Tiered DHS Data Centers</w:t>
      </w:r>
      <w:bookmarkEnd w:id="26"/>
    </w:p>
    <w:p w:rsidR="00451557" w:rsidRDefault="00D73A95" w:rsidP="00767E95">
      <w:r>
        <w:t>The remaining 230</w:t>
      </w:r>
      <w:r w:rsidR="00B00D18">
        <w:t xml:space="preserve"> facilities are identified as server rooms, server closets, or “other</w:t>
      </w:r>
      <w:r w:rsidR="00451557">
        <w:t xml:space="preserve"> room/lab</w:t>
      </w:r>
      <w:r w:rsidR="007F25B1">
        <w:t>.</w:t>
      </w:r>
      <w:r w:rsidR="00B00D18">
        <w:t xml:space="preserve">” </w:t>
      </w:r>
      <w:r>
        <w:t>These 230</w:t>
      </w:r>
      <w:r w:rsidR="00451557">
        <w:t xml:space="preserve"> facilities </w:t>
      </w:r>
      <w:r w:rsidR="00451557" w:rsidRPr="00A64197">
        <w:t>support unique req</w:t>
      </w:r>
      <w:r w:rsidR="001C4964">
        <w:t>uirements of mission operations</w:t>
      </w:r>
      <w:r w:rsidR="00451557" w:rsidRPr="00A64197">
        <w:t xml:space="preserve"> of the Department. </w:t>
      </w:r>
      <w:r w:rsidR="00451557">
        <w:t xml:space="preserve"> </w:t>
      </w:r>
      <w:r w:rsidR="001C4964">
        <w:t>A breakdown of these data centers is shown in the following table.  The total GFA of these facilities is unclear primarily becau</w:t>
      </w:r>
      <w:r>
        <w:t>se 178 (77</w:t>
      </w:r>
      <w:r w:rsidR="001C4964">
        <w:t xml:space="preserve">%) of them have been newly reported by the Component </w:t>
      </w:r>
      <w:r w:rsidR="00451557">
        <w:t xml:space="preserve">since August 2016 </w:t>
      </w:r>
      <w:r w:rsidR="001C4964">
        <w:t>in order to comply with</w:t>
      </w:r>
      <w:r w:rsidR="00DD5EFF">
        <w:t xml:space="preserve"> the</w:t>
      </w:r>
      <w:r w:rsidR="00451557">
        <w:t xml:space="preserve"> scope of the DCOI definition.  All but two of these newly identified fa</w:t>
      </w:r>
      <w:r w:rsidR="00485E31">
        <w:t>cilities are agency owned</w:t>
      </w:r>
      <w:r w:rsidR="00451557">
        <w:t xml:space="preserve"> and directly connected </w:t>
      </w:r>
      <w:r w:rsidR="00485E31">
        <w:t>mission</w:t>
      </w:r>
      <w:r w:rsidR="00451557">
        <w:t xml:space="preserve"> operations and support.  As of the publication date of this report</w:t>
      </w:r>
      <w:r w:rsidR="00166AD7">
        <w:t xml:space="preserve">, </w:t>
      </w:r>
      <w:r w:rsidR="00485E31">
        <w:t>information is</w:t>
      </w:r>
      <w:r w:rsidR="00166AD7">
        <w:t xml:space="preserve"> still </w:t>
      </w:r>
      <w:r w:rsidR="00485E31">
        <w:t>being compiled</w:t>
      </w:r>
      <w:r w:rsidR="00166AD7">
        <w:t xml:space="preserve"> about these facilities so that they can be more fully reported and </w:t>
      </w:r>
      <w:r w:rsidR="001C4964">
        <w:t>assessed. DHS expects</w:t>
      </w:r>
      <w:r w:rsidR="00166AD7">
        <w:t xml:space="preserve"> to have compiled sufficient information about these to report on them at the IT Dashboard during FY2017.</w:t>
      </w:r>
    </w:p>
    <w:p w:rsidR="001C4964" w:rsidRDefault="001C4964" w:rsidP="001C4964">
      <w:pPr>
        <w:pStyle w:val="Caption"/>
        <w:jc w:val="center"/>
      </w:pPr>
      <w:bookmarkStart w:id="27" w:name="_Toc475635604"/>
      <w:proofErr w:type="gramStart"/>
      <w:r>
        <w:t xml:space="preserve">Figure </w:t>
      </w:r>
      <w:fldSimple w:instr=" SEQ Figure \* ARABIC ">
        <w:r w:rsidR="00C63078">
          <w:rPr>
            <w:noProof/>
          </w:rPr>
          <w:t>4</w:t>
        </w:r>
      </w:fldSimple>
      <w:r>
        <w:t>.</w:t>
      </w:r>
      <w:proofErr w:type="gramEnd"/>
      <w:r>
        <w:t xml:space="preserve"> Breakdown of DHS Non-Tiered Data Centers</w:t>
      </w:r>
      <w:bookmarkEnd w:id="27"/>
    </w:p>
    <w:tbl>
      <w:tblPr>
        <w:tblStyle w:val="TableGrid"/>
        <w:tblW w:w="10008" w:type="dxa"/>
        <w:tblLook w:val="04A0" w:firstRow="1" w:lastRow="0" w:firstColumn="1" w:lastColumn="0" w:noHBand="0" w:noVBand="1"/>
      </w:tblPr>
      <w:tblGrid>
        <w:gridCol w:w="1680"/>
        <w:gridCol w:w="3108"/>
        <w:gridCol w:w="1620"/>
        <w:gridCol w:w="1003"/>
        <w:gridCol w:w="1606"/>
        <w:gridCol w:w="991"/>
      </w:tblGrid>
      <w:tr w:rsidR="001C4964" w:rsidTr="00D9091C">
        <w:trPr>
          <w:tblHeader/>
        </w:trPr>
        <w:tc>
          <w:tcPr>
            <w:tcW w:w="1680" w:type="dxa"/>
            <w:vAlign w:val="center"/>
          </w:tcPr>
          <w:p w:rsidR="001C4964" w:rsidRDefault="001C4964" w:rsidP="001C4964">
            <w:pPr>
              <w:jc w:val="center"/>
            </w:pPr>
            <w:r>
              <w:t>Tiered Data Center Categories</w:t>
            </w:r>
          </w:p>
        </w:tc>
        <w:tc>
          <w:tcPr>
            <w:tcW w:w="3108" w:type="dxa"/>
            <w:vAlign w:val="center"/>
          </w:tcPr>
          <w:p w:rsidR="001C4964" w:rsidRDefault="001C4964" w:rsidP="001C4964">
            <w:pPr>
              <w:jc w:val="center"/>
            </w:pPr>
            <w:r>
              <w:t>Components</w:t>
            </w:r>
          </w:p>
        </w:tc>
        <w:tc>
          <w:tcPr>
            <w:tcW w:w="1620" w:type="dxa"/>
            <w:vAlign w:val="center"/>
          </w:tcPr>
          <w:p w:rsidR="001C4964" w:rsidRDefault="001C4964" w:rsidP="001C4964">
            <w:pPr>
              <w:jc w:val="center"/>
            </w:pPr>
            <w:r>
              <w:t>Reported</w:t>
            </w:r>
          </w:p>
          <w:p w:rsidR="001C4964" w:rsidRDefault="001C4964" w:rsidP="001C4964">
            <w:pPr>
              <w:jc w:val="center"/>
            </w:pPr>
            <w:r>
              <w:t>Ownership</w:t>
            </w:r>
          </w:p>
          <w:p w:rsidR="001C4964" w:rsidRDefault="001C4964" w:rsidP="001C4964">
            <w:pPr>
              <w:jc w:val="center"/>
            </w:pPr>
            <w:r>
              <w:t>Type</w:t>
            </w:r>
          </w:p>
        </w:tc>
        <w:tc>
          <w:tcPr>
            <w:tcW w:w="1003" w:type="dxa"/>
            <w:vAlign w:val="center"/>
          </w:tcPr>
          <w:p w:rsidR="001C4964" w:rsidRDefault="001C4964" w:rsidP="001C4964">
            <w:pPr>
              <w:jc w:val="center"/>
            </w:pPr>
            <w:r>
              <w:t>Number of Data Centers</w:t>
            </w:r>
          </w:p>
        </w:tc>
        <w:tc>
          <w:tcPr>
            <w:tcW w:w="1606" w:type="dxa"/>
            <w:vAlign w:val="center"/>
          </w:tcPr>
          <w:p w:rsidR="001C4964" w:rsidRDefault="001C4964" w:rsidP="001C4964">
            <w:pPr>
              <w:jc w:val="center"/>
            </w:pPr>
            <w:r>
              <w:t>GFA</w:t>
            </w:r>
          </w:p>
          <w:p w:rsidR="001C4964" w:rsidRDefault="001C4964" w:rsidP="001C4964">
            <w:pPr>
              <w:jc w:val="center"/>
            </w:pPr>
            <w:r>
              <w:t>(</w:t>
            </w:r>
            <w:proofErr w:type="gramStart"/>
            <w:r w:rsidR="00F67C38">
              <w:t>sq</w:t>
            </w:r>
            <w:proofErr w:type="gramEnd"/>
            <w:r w:rsidR="00F67C38">
              <w:t>.</w:t>
            </w:r>
            <w:r>
              <w:t xml:space="preserve"> </w:t>
            </w:r>
            <w:r w:rsidR="00F67C38">
              <w:t>ft.</w:t>
            </w:r>
            <w:r>
              <w:t>)</w:t>
            </w:r>
          </w:p>
        </w:tc>
        <w:tc>
          <w:tcPr>
            <w:tcW w:w="991" w:type="dxa"/>
            <w:vAlign w:val="center"/>
          </w:tcPr>
          <w:p w:rsidR="001C4964" w:rsidRDefault="001C4964" w:rsidP="001C4964">
            <w:pPr>
              <w:jc w:val="center"/>
            </w:pPr>
            <w:r>
              <w:t>% of Total GFA</w:t>
            </w:r>
          </w:p>
        </w:tc>
      </w:tr>
      <w:tr w:rsidR="001C4964" w:rsidTr="00D9091C">
        <w:tc>
          <w:tcPr>
            <w:tcW w:w="1680" w:type="dxa"/>
          </w:tcPr>
          <w:p w:rsidR="001C4964" w:rsidRPr="00D9091C" w:rsidRDefault="001C4964" w:rsidP="001C4964">
            <w:pPr>
              <w:rPr>
                <w:sz w:val="22"/>
                <w:szCs w:val="22"/>
              </w:rPr>
            </w:pPr>
            <w:r w:rsidRPr="00D9091C">
              <w:rPr>
                <w:sz w:val="22"/>
                <w:szCs w:val="22"/>
              </w:rPr>
              <w:t>Migration Execution</w:t>
            </w:r>
          </w:p>
        </w:tc>
        <w:tc>
          <w:tcPr>
            <w:tcW w:w="3108" w:type="dxa"/>
          </w:tcPr>
          <w:p w:rsidR="001C4964" w:rsidRPr="00D9091C" w:rsidRDefault="00CA76D6" w:rsidP="001C4964">
            <w:pPr>
              <w:rPr>
                <w:sz w:val="22"/>
                <w:szCs w:val="22"/>
              </w:rPr>
            </w:pPr>
            <w:r w:rsidRPr="00D9091C">
              <w:rPr>
                <w:sz w:val="22"/>
                <w:szCs w:val="22"/>
              </w:rPr>
              <w:t>None</w:t>
            </w:r>
          </w:p>
        </w:tc>
        <w:tc>
          <w:tcPr>
            <w:tcW w:w="1620" w:type="dxa"/>
          </w:tcPr>
          <w:p w:rsidR="001C4964" w:rsidRPr="00D9091C" w:rsidRDefault="00CA76D6" w:rsidP="001C4964">
            <w:pPr>
              <w:rPr>
                <w:sz w:val="22"/>
                <w:szCs w:val="22"/>
              </w:rPr>
            </w:pPr>
            <w:r w:rsidRPr="00D9091C">
              <w:rPr>
                <w:sz w:val="22"/>
                <w:szCs w:val="22"/>
              </w:rPr>
              <w:t>N/A</w:t>
            </w:r>
          </w:p>
        </w:tc>
        <w:tc>
          <w:tcPr>
            <w:tcW w:w="1003" w:type="dxa"/>
          </w:tcPr>
          <w:p w:rsidR="001C4964" w:rsidRPr="00D9091C" w:rsidRDefault="00CA76D6" w:rsidP="001C4964">
            <w:pPr>
              <w:jc w:val="center"/>
              <w:rPr>
                <w:sz w:val="22"/>
                <w:szCs w:val="22"/>
              </w:rPr>
            </w:pPr>
            <w:r w:rsidRPr="00D9091C">
              <w:rPr>
                <w:sz w:val="22"/>
                <w:szCs w:val="22"/>
              </w:rPr>
              <w:t>0</w:t>
            </w:r>
          </w:p>
        </w:tc>
        <w:tc>
          <w:tcPr>
            <w:tcW w:w="1606" w:type="dxa"/>
          </w:tcPr>
          <w:p w:rsidR="001C4964" w:rsidRPr="00D9091C" w:rsidRDefault="00CA76D6" w:rsidP="001C4964">
            <w:pPr>
              <w:jc w:val="right"/>
              <w:rPr>
                <w:sz w:val="22"/>
                <w:szCs w:val="22"/>
              </w:rPr>
            </w:pPr>
            <w:r w:rsidRPr="00D9091C">
              <w:rPr>
                <w:sz w:val="22"/>
                <w:szCs w:val="22"/>
              </w:rPr>
              <w:t>0</w:t>
            </w:r>
          </w:p>
        </w:tc>
        <w:tc>
          <w:tcPr>
            <w:tcW w:w="991" w:type="dxa"/>
          </w:tcPr>
          <w:p w:rsidR="001C4964" w:rsidRPr="00D9091C" w:rsidRDefault="00CA76D6" w:rsidP="001C4964">
            <w:pPr>
              <w:jc w:val="right"/>
              <w:rPr>
                <w:sz w:val="22"/>
                <w:szCs w:val="22"/>
              </w:rPr>
            </w:pPr>
            <w:r w:rsidRPr="00D9091C">
              <w:rPr>
                <w:sz w:val="22"/>
                <w:szCs w:val="22"/>
              </w:rPr>
              <w:t>0%</w:t>
            </w:r>
          </w:p>
        </w:tc>
      </w:tr>
      <w:tr w:rsidR="001C4964" w:rsidTr="00D9091C">
        <w:tc>
          <w:tcPr>
            <w:tcW w:w="1680" w:type="dxa"/>
          </w:tcPr>
          <w:p w:rsidR="001C4964" w:rsidRPr="00D9091C" w:rsidRDefault="001C4964" w:rsidP="001C4964">
            <w:pPr>
              <w:rPr>
                <w:sz w:val="22"/>
                <w:szCs w:val="22"/>
              </w:rPr>
            </w:pPr>
            <w:r w:rsidRPr="00D9091C">
              <w:rPr>
                <w:sz w:val="22"/>
                <w:szCs w:val="22"/>
              </w:rPr>
              <w:t>Legacy Facilities Considering Enterprise Alternatives</w:t>
            </w:r>
          </w:p>
        </w:tc>
        <w:tc>
          <w:tcPr>
            <w:tcW w:w="3108" w:type="dxa"/>
          </w:tcPr>
          <w:p w:rsidR="00CA76D6" w:rsidRPr="00D9091C" w:rsidRDefault="00D73A95" w:rsidP="00CA76D6">
            <w:pPr>
              <w:rPr>
                <w:sz w:val="22"/>
                <w:szCs w:val="22"/>
              </w:rPr>
            </w:pPr>
            <w:r w:rsidRPr="00D9091C">
              <w:rPr>
                <w:sz w:val="22"/>
                <w:szCs w:val="22"/>
              </w:rPr>
              <w:t>FEMA/ICE/</w:t>
            </w:r>
            <w:r w:rsidR="00D9091C" w:rsidRPr="00D9091C">
              <w:rPr>
                <w:sz w:val="22"/>
                <w:szCs w:val="22"/>
              </w:rPr>
              <w:t>NPPD/S&amp;T/</w:t>
            </w:r>
            <w:r w:rsidR="00CA76D6" w:rsidRPr="00D9091C">
              <w:rPr>
                <w:sz w:val="22"/>
                <w:szCs w:val="22"/>
              </w:rPr>
              <w:t>USCIS</w:t>
            </w:r>
          </w:p>
          <w:p w:rsidR="00CA76D6" w:rsidRPr="00D9091C" w:rsidRDefault="00D9091C" w:rsidP="00CA76D6">
            <w:pPr>
              <w:rPr>
                <w:sz w:val="22"/>
                <w:szCs w:val="22"/>
              </w:rPr>
            </w:pPr>
            <w:r>
              <w:rPr>
                <w:sz w:val="22"/>
                <w:szCs w:val="22"/>
              </w:rPr>
              <w:t>ICE/S&amp;T</w:t>
            </w:r>
          </w:p>
          <w:p w:rsidR="001C4964" w:rsidRPr="00D9091C" w:rsidRDefault="00CA76D6" w:rsidP="001C4964">
            <w:pPr>
              <w:rPr>
                <w:sz w:val="22"/>
                <w:szCs w:val="22"/>
              </w:rPr>
            </w:pPr>
            <w:r w:rsidRPr="00D9091C">
              <w:rPr>
                <w:sz w:val="22"/>
                <w:szCs w:val="22"/>
              </w:rPr>
              <w:t>CBP</w:t>
            </w:r>
            <w:r w:rsidR="00D9091C">
              <w:rPr>
                <w:sz w:val="22"/>
                <w:szCs w:val="22"/>
              </w:rPr>
              <w:t>/FLETC/S&amp;T</w:t>
            </w:r>
          </w:p>
        </w:tc>
        <w:tc>
          <w:tcPr>
            <w:tcW w:w="1620" w:type="dxa"/>
          </w:tcPr>
          <w:p w:rsidR="001C4964" w:rsidRPr="00D9091C" w:rsidRDefault="001C4964" w:rsidP="001C4964">
            <w:pPr>
              <w:rPr>
                <w:sz w:val="22"/>
                <w:szCs w:val="22"/>
              </w:rPr>
            </w:pPr>
            <w:r w:rsidRPr="00D9091C">
              <w:rPr>
                <w:sz w:val="22"/>
                <w:szCs w:val="22"/>
              </w:rPr>
              <w:t>Outsourced</w:t>
            </w:r>
          </w:p>
          <w:p w:rsidR="001C4964" w:rsidRPr="00D9091C" w:rsidRDefault="001C4964" w:rsidP="001C4964">
            <w:pPr>
              <w:rPr>
                <w:sz w:val="22"/>
                <w:szCs w:val="22"/>
              </w:rPr>
            </w:pPr>
            <w:r w:rsidRPr="00D9091C">
              <w:rPr>
                <w:sz w:val="22"/>
                <w:szCs w:val="22"/>
              </w:rPr>
              <w:t>Co-located</w:t>
            </w:r>
          </w:p>
          <w:p w:rsidR="001C4964" w:rsidRPr="00D9091C" w:rsidRDefault="001C4964" w:rsidP="001C4964">
            <w:pPr>
              <w:rPr>
                <w:sz w:val="22"/>
                <w:szCs w:val="22"/>
              </w:rPr>
            </w:pPr>
            <w:r w:rsidRPr="00D9091C">
              <w:rPr>
                <w:sz w:val="22"/>
                <w:szCs w:val="22"/>
              </w:rPr>
              <w:t>Agency owned</w:t>
            </w:r>
          </w:p>
        </w:tc>
        <w:tc>
          <w:tcPr>
            <w:tcW w:w="1003" w:type="dxa"/>
          </w:tcPr>
          <w:p w:rsidR="001C4964" w:rsidRPr="00D9091C" w:rsidRDefault="00D73A95" w:rsidP="001C4964">
            <w:pPr>
              <w:jc w:val="center"/>
              <w:rPr>
                <w:sz w:val="22"/>
                <w:szCs w:val="22"/>
              </w:rPr>
            </w:pPr>
            <w:r w:rsidRPr="00D9091C">
              <w:rPr>
                <w:sz w:val="22"/>
                <w:szCs w:val="22"/>
              </w:rPr>
              <w:t>15</w:t>
            </w:r>
          </w:p>
          <w:p w:rsidR="001C4964" w:rsidRPr="00D9091C" w:rsidRDefault="00D9091C" w:rsidP="001C4964">
            <w:pPr>
              <w:jc w:val="center"/>
              <w:rPr>
                <w:sz w:val="22"/>
                <w:szCs w:val="22"/>
              </w:rPr>
            </w:pPr>
            <w:r>
              <w:rPr>
                <w:sz w:val="22"/>
                <w:szCs w:val="22"/>
              </w:rPr>
              <w:t>5</w:t>
            </w:r>
          </w:p>
          <w:p w:rsidR="001C4964" w:rsidRPr="00D9091C" w:rsidRDefault="00D9091C" w:rsidP="001C4964">
            <w:pPr>
              <w:jc w:val="center"/>
              <w:rPr>
                <w:sz w:val="22"/>
                <w:szCs w:val="22"/>
              </w:rPr>
            </w:pPr>
            <w:r>
              <w:rPr>
                <w:sz w:val="22"/>
                <w:szCs w:val="22"/>
              </w:rPr>
              <w:t>4</w:t>
            </w:r>
          </w:p>
        </w:tc>
        <w:tc>
          <w:tcPr>
            <w:tcW w:w="1606" w:type="dxa"/>
          </w:tcPr>
          <w:p w:rsidR="001C4964" w:rsidRPr="00D9091C" w:rsidRDefault="00CA76D6" w:rsidP="001C4964">
            <w:pPr>
              <w:jc w:val="right"/>
              <w:rPr>
                <w:sz w:val="22"/>
                <w:szCs w:val="22"/>
              </w:rPr>
            </w:pPr>
            <w:r w:rsidRPr="00D9091C">
              <w:rPr>
                <w:sz w:val="22"/>
                <w:szCs w:val="22"/>
              </w:rPr>
              <w:t>Pending report</w:t>
            </w:r>
          </w:p>
          <w:p w:rsidR="001C4964" w:rsidRPr="00D9091C" w:rsidRDefault="00CA76D6" w:rsidP="001C4964">
            <w:pPr>
              <w:jc w:val="right"/>
              <w:rPr>
                <w:sz w:val="22"/>
                <w:szCs w:val="22"/>
              </w:rPr>
            </w:pPr>
            <w:r w:rsidRPr="00D9091C">
              <w:rPr>
                <w:sz w:val="22"/>
                <w:szCs w:val="22"/>
              </w:rPr>
              <w:t>0</w:t>
            </w:r>
          </w:p>
          <w:p w:rsidR="001C4964" w:rsidRPr="00D9091C" w:rsidRDefault="00CA76D6" w:rsidP="001C4964">
            <w:pPr>
              <w:jc w:val="right"/>
              <w:rPr>
                <w:sz w:val="22"/>
                <w:szCs w:val="22"/>
              </w:rPr>
            </w:pPr>
            <w:r w:rsidRPr="00D9091C">
              <w:rPr>
                <w:sz w:val="22"/>
                <w:szCs w:val="22"/>
              </w:rPr>
              <w:t>400</w:t>
            </w:r>
          </w:p>
        </w:tc>
        <w:tc>
          <w:tcPr>
            <w:tcW w:w="991" w:type="dxa"/>
          </w:tcPr>
          <w:p w:rsidR="001C4964" w:rsidRPr="00D9091C" w:rsidRDefault="00CA76D6" w:rsidP="001C4964">
            <w:pPr>
              <w:jc w:val="right"/>
              <w:rPr>
                <w:sz w:val="22"/>
                <w:szCs w:val="22"/>
              </w:rPr>
            </w:pPr>
            <w:r w:rsidRPr="00D9091C">
              <w:rPr>
                <w:sz w:val="22"/>
                <w:szCs w:val="22"/>
              </w:rPr>
              <w:t>TBD</w:t>
            </w:r>
          </w:p>
          <w:p w:rsidR="00CA76D6" w:rsidRPr="00D9091C" w:rsidRDefault="00CA76D6" w:rsidP="001C4964">
            <w:pPr>
              <w:jc w:val="right"/>
              <w:rPr>
                <w:sz w:val="22"/>
                <w:szCs w:val="22"/>
              </w:rPr>
            </w:pPr>
            <w:r w:rsidRPr="00D9091C">
              <w:rPr>
                <w:sz w:val="22"/>
                <w:szCs w:val="22"/>
              </w:rPr>
              <w:t>0%</w:t>
            </w:r>
          </w:p>
          <w:p w:rsidR="00CA76D6" w:rsidRPr="00D9091C" w:rsidRDefault="00CA76D6" w:rsidP="001C4964">
            <w:pPr>
              <w:jc w:val="right"/>
              <w:rPr>
                <w:sz w:val="22"/>
                <w:szCs w:val="22"/>
              </w:rPr>
            </w:pPr>
            <w:r w:rsidRPr="00D9091C">
              <w:rPr>
                <w:sz w:val="22"/>
                <w:szCs w:val="22"/>
              </w:rPr>
              <w:t>TBD</w:t>
            </w:r>
          </w:p>
        </w:tc>
      </w:tr>
      <w:tr w:rsidR="001C4964" w:rsidTr="00D9091C">
        <w:tc>
          <w:tcPr>
            <w:tcW w:w="1680" w:type="dxa"/>
          </w:tcPr>
          <w:p w:rsidR="001C4964" w:rsidRPr="00D9091C" w:rsidRDefault="001C4964" w:rsidP="001C4964">
            <w:pPr>
              <w:rPr>
                <w:sz w:val="22"/>
                <w:szCs w:val="22"/>
              </w:rPr>
            </w:pPr>
            <w:r w:rsidRPr="00D9091C">
              <w:rPr>
                <w:sz w:val="22"/>
                <w:szCs w:val="22"/>
              </w:rPr>
              <w:t>Legacy Facilities Planning to Stay at Current Location</w:t>
            </w:r>
          </w:p>
        </w:tc>
        <w:tc>
          <w:tcPr>
            <w:tcW w:w="3108" w:type="dxa"/>
          </w:tcPr>
          <w:p w:rsidR="00CA76D6" w:rsidRPr="00D9091C" w:rsidRDefault="00CA76D6" w:rsidP="001C4964">
            <w:pPr>
              <w:rPr>
                <w:sz w:val="22"/>
                <w:szCs w:val="22"/>
              </w:rPr>
            </w:pPr>
            <w:r w:rsidRPr="00D9091C">
              <w:rPr>
                <w:sz w:val="22"/>
                <w:szCs w:val="22"/>
              </w:rPr>
              <w:t>None</w:t>
            </w:r>
          </w:p>
          <w:p w:rsidR="00CA76D6" w:rsidRPr="00D9091C" w:rsidRDefault="00D9091C" w:rsidP="001C4964">
            <w:pPr>
              <w:rPr>
                <w:sz w:val="22"/>
                <w:szCs w:val="22"/>
              </w:rPr>
            </w:pPr>
            <w:r>
              <w:rPr>
                <w:sz w:val="22"/>
                <w:szCs w:val="22"/>
              </w:rPr>
              <w:t>FEMA/ICE/USCIS/USCG</w:t>
            </w:r>
          </w:p>
          <w:p w:rsidR="001C4964" w:rsidRPr="00D9091C" w:rsidRDefault="00D9091C" w:rsidP="001C4964">
            <w:pPr>
              <w:rPr>
                <w:sz w:val="22"/>
                <w:szCs w:val="22"/>
              </w:rPr>
            </w:pPr>
            <w:r>
              <w:rPr>
                <w:sz w:val="22"/>
                <w:szCs w:val="22"/>
              </w:rPr>
              <w:t>FLETC/</w:t>
            </w:r>
            <w:r w:rsidR="001C4964" w:rsidRPr="00D9091C">
              <w:rPr>
                <w:sz w:val="22"/>
                <w:szCs w:val="22"/>
              </w:rPr>
              <w:t>TSA</w:t>
            </w:r>
          </w:p>
        </w:tc>
        <w:tc>
          <w:tcPr>
            <w:tcW w:w="1620" w:type="dxa"/>
          </w:tcPr>
          <w:p w:rsidR="001C4964" w:rsidRPr="00D9091C" w:rsidRDefault="001C4964" w:rsidP="001C4964">
            <w:pPr>
              <w:rPr>
                <w:sz w:val="22"/>
                <w:szCs w:val="22"/>
              </w:rPr>
            </w:pPr>
            <w:r w:rsidRPr="00D9091C">
              <w:rPr>
                <w:sz w:val="22"/>
                <w:szCs w:val="22"/>
              </w:rPr>
              <w:t>Outsourced</w:t>
            </w:r>
          </w:p>
          <w:p w:rsidR="001C4964" w:rsidRPr="00D9091C" w:rsidRDefault="001C4964" w:rsidP="001C4964">
            <w:pPr>
              <w:rPr>
                <w:sz w:val="22"/>
                <w:szCs w:val="22"/>
              </w:rPr>
            </w:pPr>
            <w:r w:rsidRPr="00D9091C">
              <w:rPr>
                <w:sz w:val="22"/>
                <w:szCs w:val="22"/>
              </w:rPr>
              <w:t>Co-located</w:t>
            </w:r>
          </w:p>
          <w:p w:rsidR="001C4964" w:rsidRPr="00D9091C" w:rsidRDefault="001C4964" w:rsidP="001C4964">
            <w:pPr>
              <w:rPr>
                <w:sz w:val="22"/>
                <w:szCs w:val="22"/>
              </w:rPr>
            </w:pPr>
            <w:r w:rsidRPr="00D9091C">
              <w:rPr>
                <w:sz w:val="22"/>
                <w:szCs w:val="22"/>
              </w:rPr>
              <w:t>Agency owned</w:t>
            </w:r>
          </w:p>
        </w:tc>
        <w:tc>
          <w:tcPr>
            <w:tcW w:w="1003" w:type="dxa"/>
          </w:tcPr>
          <w:p w:rsidR="001C4964" w:rsidRPr="00D9091C" w:rsidRDefault="00CA76D6" w:rsidP="001C4964">
            <w:pPr>
              <w:jc w:val="center"/>
              <w:rPr>
                <w:sz w:val="22"/>
                <w:szCs w:val="22"/>
              </w:rPr>
            </w:pPr>
            <w:r w:rsidRPr="00D9091C">
              <w:rPr>
                <w:sz w:val="22"/>
                <w:szCs w:val="22"/>
              </w:rPr>
              <w:t>0</w:t>
            </w:r>
          </w:p>
          <w:p w:rsidR="001C4964" w:rsidRPr="00D9091C" w:rsidRDefault="00D9091C" w:rsidP="001C4964">
            <w:pPr>
              <w:jc w:val="center"/>
              <w:rPr>
                <w:sz w:val="22"/>
                <w:szCs w:val="22"/>
              </w:rPr>
            </w:pPr>
            <w:r>
              <w:rPr>
                <w:sz w:val="22"/>
                <w:szCs w:val="22"/>
              </w:rPr>
              <w:t>26</w:t>
            </w:r>
          </w:p>
          <w:p w:rsidR="001C4964" w:rsidRPr="00D9091C" w:rsidRDefault="00CA76D6" w:rsidP="001C4964">
            <w:pPr>
              <w:jc w:val="center"/>
              <w:rPr>
                <w:sz w:val="22"/>
                <w:szCs w:val="22"/>
              </w:rPr>
            </w:pPr>
            <w:r w:rsidRPr="00D9091C">
              <w:rPr>
                <w:sz w:val="22"/>
                <w:szCs w:val="22"/>
              </w:rPr>
              <w:t>1</w:t>
            </w:r>
            <w:r w:rsidR="00D9091C">
              <w:rPr>
                <w:sz w:val="22"/>
                <w:szCs w:val="22"/>
              </w:rPr>
              <w:t>80</w:t>
            </w:r>
          </w:p>
        </w:tc>
        <w:tc>
          <w:tcPr>
            <w:tcW w:w="1606" w:type="dxa"/>
          </w:tcPr>
          <w:p w:rsidR="001C4964" w:rsidRPr="00D9091C" w:rsidRDefault="00CA76D6" w:rsidP="001C4964">
            <w:pPr>
              <w:jc w:val="right"/>
              <w:rPr>
                <w:sz w:val="22"/>
                <w:szCs w:val="22"/>
              </w:rPr>
            </w:pPr>
            <w:r w:rsidRPr="00D9091C">
              <w:rPr>
                <w:sz w:val="22"/>
                <w:szCs w:val="22"/>
              </w:rPr>
              <w:t>0</w:t>
            </w:r>
          </w:p>
          <w:p w:rsidR="001C4964" w:rsidRPr="00D9091C" w:rsidRDefault="00CA76D6" w:rsidP="001C4964">
            <w:pPr>
              <w:jc w:val="right"/>
              <w:rPr>
                <w:sz w:val="22"/>
                <w:szCs w:val="22"/>
              </w:rPr>
            </w:pPr>
            <w:r w:rsidRPr="00D9091C">
              <w:rPr>
                <w:sz w:val="22"/>
                <w:szCs w:val="22"/>
              </w:rPr>
              <w:t>0</w:t>
            </w:r>
          </w:p>
          <w:p w:rsidR="001C4964" w:rsidRPr="00D9091C" w:rsidRDefault="00CA76D6" w:rsidP="001C4964">
            <w:pPr>
              <w:jc w:val="right"/>
              <w:rPr>
                <w:sz w:val="22"/>
                <w:szCs w:val="22"/>
              </w:rPr>
            </w:pPr>
            <w:r w:rsidRPr="00D9091C">
              <w:rPr>
                <w:sz w:val="22"/>
                <w:szCs w:val="22"/>
              </w:rPr>
              <w:t>Pending report</w:t>
            </w:r>
          </w:p>
        </w:tc>
        <w:tc>
          <w:tcPr>
            <w:tcW w:w="991" w:type="dxa"/>
          </w:tcPr>
          <w:p w:rsidR="001C4964" w:rsidRPr="00D9091C" w:rsidRDefault="00CA76D6" w:rsidP="001C4964">
            <w:pPr>
              <w:jc w:val="right"/>
              <w:rPr>
                <w:sz w:val="22"/>
                <w:szCs w:val="22"/>
              </w:rPr>
            </w:pPr>
            <w:r w:rsidRPr="00D9091C">
              <w:rPr>
                <w:sz w:val="22"/>
                <w:szCs w:val="22"/>
              </w:rPr>
              <w:t>0%</w:t>
            </w:r>
          </w:p>
          <w:p w:rsidR="001C4964" w:rsidRPr="00D9091C" w:rsidRDefault="00CA76D6" w:rsidP="001C4964">
            <w:pPr>
              <w:jc w:val="right"/>
              <w:rPr>
                <w:sz w:val="22"/>
                <w:szCs w:val="22"/>
              </w:rPr>
            </w:pPr>
            <w:r w:rsidRPr="00D9091C">
              <w:rPr>
                <w:sz w:val="22"/>
                <w:szCs w:val="22"/>
              </w:rPr>
              <w:t>0</w:t>
            </w:r>
            <w:r w:rsidR="001C4964" w:rsidRPr="00D9091C">
              <w:rPr>
                <w:sz w:val="22"/>
                <w:szCs w:val="22"/>
              </w:rPr>
              <w:t>%</w:t>
            </w:r>
          </w:p>
          <w:p w:rsidR="001C4964" w:rsidRPr="00D9091C" w:rsidRDefault="00CA76D6" w:rsidP="001C4964">
            <w:pPr>
              <w:jc w:val="right"/>
              <w:rPr>
                <w:sz w:val="22"/>
                <w:szCs w:val="22"/>
              </w:rPr>
            </w:pPr>
            <w:r w:rsidRPr="00D9091C">
              <w:rPr>
                <w:sz w:val="22"/>
                <w:szCs w:val="22"/>
              </w:rPr>
              <w:t>TBD</w:t>
            </w:r>
          </w:p>
        </w:tc>
      </w:tr>
      <w:tr w:rsidR="001C4964" w:rsidTr="00D9091C">
        <w:tc>
          <w:tcPr>
            <w:tcW w:w="1680" w:type="dxa"/>
          </w:tcPr>
          <w:p w:rsidR="001C4964" w:rsidRPr="00D9091C" w:rsidRDefault="001C4964" w:rsidP="001C4964">
            <w:pPr>
              <w:rPr>
                <w:b/>
                <w:sz w:val="22"/>
                <w:szCs w:val="22"/>
              </w:rPr>
            </w:pPr>
            <w:r w:rsidRPr="00D9091C">
              <w:rPr>
                <w:b/>
                <w:sz w:val="22"/>
                <w:szCs w:val="22"/>
              </w:rPr>
              <w:t>Totals</w:t>
            </w:r>
          </w:p>
        </w:tc>
        <w:tc>
          <w:tcPr>
            <w:tcW w:w="3108" w:type="dxa"/>
          </w:tcPr>
          <w:p w:rsidR="001C4964" w:rsidRPr="00D9091C" w:rsidRDefault="001C4964" w:rsidP="001C4964">
            <w:pPr>
              <w:rPr>
                <w:b/>
                <w:sz w:val="22"/>
                <w:szCs w:val="22"/>
              </w:rPr>
            </w:pPr>
          </w:p>
        </w:tc>
        <w:tc>
          <w:tcPr>
            <w:tcW w:w="1620" w:type="dxa"/>
          </w:tcPr>
          <w:p w:rsidR="001C4964" w:rsidRPr="00D9091C" w:rsidRDefault="001C4964" w:rsidP="001C4964">
            <w:pPr>
              <w:rPr>
                <w:b/>
                <w:sz w:val="22"/>
                <w:szCs w:val="22"/>
              </w:rPr>
            </w:pPr>
          </w:p>
        </w:tc>
        <w:tc>
          <w:tcPr>
            <w:tcW w:w="1003" w:type="dxa"/>
          </w:tcPr>
          <w:p w:rsidR="001C4964" w:rsidRPr="00D9091C" w:rsidRDefault="00D9091C" w:rsidP="001C4964">
            <w:pPr>
              <w:jc w:val="center"/>
              <w:rPr>
                <w:b/>
                <w:sz w:val="22"/>
                <w:szCs w:val="22"/>
              </w:rPr>
            </w:pPr>
            <w:r>
              <w:rPr>
                <w:b/>
                <w:sz w:val="22"/>
                <w:szCs w:val="22"/>
              </w:rPr>
              <w:t>230</w:t>
            </w:r>
          </w:p>
        </w:tc>
        <w:tc>
          <w:tcPr>
            <w:tcW w:w="1606" w:type="dxa"/>
          </w:tcPr>
          <w:p w:rsidR="001C4964" w:rsidRPr="00D9091C" w:rsidRDefault="00CA76D6" w:rsidP="001C4964">
            <w:pPr>
              <w:jc w:val="right"/>
              <w:rPr>
                <w:b/>
                <w:sz w:val="22"/>
                <w:szCs w:val="22"/>
              </w:rPr>
            </w:pPr>
            <w:r w:rsidRPr="00D9091C">
              <w:rPr>
                <w:b/>
                <w:sz w:val="22"/>
                <w:szCs w:val="22"/>
              </w:rPr>
              <w:t>TBD</w:t>
            </w:r>
          </w:p>
        </w:tc>
        <w:tc>
          <w:tcPr>
            <w:tcW w:w="991" w:type="dxa"/>
          </w:tcPr>
          <w:p w:rsidR="001C4964" w:rsidRPr="00D9091C" w:rsidRDefault="00A843D6" w:rsidP="001C4964">
            <w:pPr>
              <w:jc w:val="right"/>
              <w:rPr>
                <w:b/>
                <w:sz w:val="22"/>
                <w:szCs w:val="22"/>
              </w:rPr>
            </w:pPr>
            <w:r w:rsidRPr="00D9091C">
              <w:rPr>
                <w:b/>
                <w:sz w:val="22"/>
                <w:szCs w:val="22"/>
              </w:rPr>
              <w:t>TBD</w:t>
            </w:r>
          </w:p>
        </w:tc>
      </w:tr>
    </w:tbl>
    <w:p w:rsidR="001C4964" w:rsidRDefault="001C4964" w:rsidP="00767E95"/>
    <w:p w:rsidR="001C4964" w:rsidRDefault="00361BEA" w:rsidP="00767E95">
      <w:r>
        <w:lastRenderedPageBreak/>
        <w:t xml:space="preserve">The DHS CIO will also be dialoguing with </w:t>
      </w:r>
      <w:r w:rsidR="00DD5EFF">
        <w:t xml:space="preserve">these </w:t>
      </w:r>
      <w:r>
        <w:t xml:space="preserve">Components about disposition of the </w:t>
      </w:r>
      <w:r w:rsidR="002E769E">
        <w:t xml:space="preserve">206 legacy facilities, which include the 178 newly identified facilities, </w:t>
      </w:r>
      <w:r>
        <w:t xml:space="preserve">for which Components reported no plans to close current facilities.  </w:t>
      </w:r>
      <w:r w:rsidR="002E769E">
        <w:t>T</w:t>
      </w:r>
      <w:r>
        <w:t>he foc</w:t>
      </w:r>
      <w:r w:rsidR="00DD5EFF">
        <w:t>us of DHS CIO involvement going forward will be to work with these Components to validate data center</w:t>
      </w:r>
      <w:r>
        <w:t xml:space="preserve"> performance s</w:t>
      </w:r>
      <w:r w:rsidR="00DD5EFF">
        <w:t>tatus and establish the viability</w:t>
      </w:r>
      <w:r>
        <w:t xml:space="preserve"> to optimize performance at these data centers if they are not already compliant.  </w:t>
      </w:r>
      <w:r w:rsidR="00DD5EFF">
        <w:t>There are no assumptions as of the date of this report about the roadmap to optimization for these facilities but the dialogue will include review of hosting alternatives where information from Components indicates that there may be consolidation and/or Cloud solutions that cost effectively meet both performance and missio</w:t>
      </w:r>
      <w:r w:rsidR="002E769E">
        <w:t>n needs of these data centers.</w:t>
      </w:r>
    </w:p>
    <w:p w:rsidR="00481C31" w:rsidRPr="00E04ABD" w:rsidRDefault="00E86E5C" w:rsidP="00725762">
      <w:pPr>
        <w:pStyle w:val="Heading2"/>
      </w:pPr>
      <w:bookmarkStart w:id="28" w:name="_Toc475636845"/>
      <w:r w:rsidRPr="00E04ABD">
        <w:t>Plan to Achieve DCOI Targeted P</w:t>
      </w:r>
      <w:r w:rsidR="00481C31" w:rsidRPr="00E04ABD">
        <w:t xml:space="preserve">erformance </w:t>
      </w:r>
      <w:r w:rsidR="00725762" w:rsidRPr="00E04ABD">
        <w:t>L</w:t>
      </w:r>
      <w:r w:rsidR="00481C31" w:rsidRPr="00E04ABD">
        <w:t>evels</w:t>
      </w:r>
      <w:bookmarkEnd w:id="28"/>
    </w:p>
    <w:p w:rsidR="008635EB" w:rsidRPr="00A64197" w:rsidRDefault="00B561DB" w:rsidP="008635EB">
      <w:r w:rsidRPr="00A64197">
        <w:rPr>
          <w:b/>
        </w:rPr>
        <w:t>Scope and Definitions</w:t>
      </w:r>
      <w:r w:rsidR="00C5394E" w:rsidRPr="00A64197">
        <w:t>:</w:t>
      </w:r>
      <w:r w:rsidRPr="00A64197">
        <w:t xml:space="preserve"> </w:t>
      </w:r>
      <w:r w:rsidR="00C13CF0">
        <w:t xml:space="preserve">In response to </w:t>
      </w:r>
      <w:r w:rsidR="00481842" w:rsidRPr="00A64197">
        <w:t>OMB Memorandum M-16-19</w:t>
      </w:r>
      <w:r w:rsidR="00C13CF0">
        <w:t>, DHS will</w:t>
      </w:r>
      <w:r w:rsidR="00481842" w:rsidRPr="00A64197">
        <w:t xml:space="preserve"> report</w:t>
      </w:r>
      <w:r w:rsidR="00725762" w:rsidRPr="00A64197">
        <w:t xml:space="preserve"> achieved and planned performance </w:t>
      </w:r>
      <w:r w:rsidR="006F5766">
        <w:t>and optimization</w:t>
      </w:r>
      <w:r w:rsidR="00725762" w:rsidRPr="00A64197">
        <w:t xml:space="preserve"> for </w:t>
      </w:r>
      <w:r w:rsidR="00C13CF0">
        <w:t xml:space="preserve"> specific segments of DHS’</w:t>
      </w:r>
      <w:r w:rsidR="00725762" w:rsidRPr="00A64197">
        <w:t xml:space="preserve"> data center</w:t>
      </w:r>
      <w:r w:rsidR="00C13CF0">
        <w:t xml:space="preserve"> inventory as directed by OMB, </w:t>
      </w:r>
      <w:r w:rsidR="00725762" w:rsidRPr="00A64197">
        <w:t xml:space="preserve"> as well as providing an explanation for </w:t>
      </w:r>
      <w:r w:rsidR="00C13CF0">
        <w:t xml:space="preserve">previously reported </w:t>
      </w:r>
      <w:r w:rsidR="004A1200" w:rsidRPr="00A64197">
        <w:t xml:space="preserve"> </w:t>
      </w:r>
      <w:r w:rsidR="006F5766">
        <w:t xml:space="preserve">performance and other optimization </w:t>
      </w:r>
      <w:r w:rsidR="00C13CF0">
        <w:t>goals that have not been met</w:t>
      </w:r>
      <w:r w:rsidR="00725762" w:rsidRPr="00A64197">
        <w:t>.</w:t>
      </w:r>
      <w:r w:rsidR="00481842" w:rsidRPr="00A64197">
        <w:rPr>
          <w:rStyle w:val="FootnoteReference"/>
        </w:rPr>
        <w:footnoteReference w:id="52"/>
      </w:r>
      <w:r w:rsidR="00C13CF0">
        <w:t xml:space="preserve">  </w:t>
      </w:r>
    </w:p>
    <w:p w:rsidR="001E3B8E" w:rsidRPr="00E04ABD" w:rsidRDefault="001E3B8E" w:rsidP="001E3B8E">
      <w:pPr>
        <w:pStyle w:val="Heading3"/>
        <w:rPr>
          <w:b w:val="0"/>
        </w:rPr>
      </w:pPr>
      <w:bookmarkStart w:id="29" w:name="_Toc475636846"/>
      <w:r w:rsidRPr="00E04ABD">
        <w:rPr>
          <w:b w:val="0"/>
        </w:rPr>
        <w:t>Energy Metering</w:t>
      </w:r>
      <w:bookmarkEnd w:id="29"/>
    </w:p>
    <w:p w:rsidR="007F0496" w:rsidRPr="00A64197" w:rsidRDefault="004A1200" w:rsidP="004A1200">
      <w:r w:rsidRPr="00A64197">
        <w:rPr>
          <w:b/>
        </w:rPr>
        <w:t>Energy Metering</w:t>
      </w:r>
      <w:r w:rsidR="007F0496" w:rsidRPr="00A64197">
        <w:rPr>
          <w:b/>
        </w:rPr>
        <w:t xml:space="preserve"> Scope and Definition</w:t>
      </w:r>
      <w:r w:rsidR="00C5394E" w:rsidRPr="00A64197">
        <w:t xml:space="preserve">: </w:t>
      </w:r>
      <w:r w:rsidR="00B561DB" w:rsidRPr="00A64197">
        <w:t xml:space="preserve"> </w:t>
      </w:r>
      <w:r w:rsidR="008620C2" w:rsidRPr="00A64197">
        <w:t>Energy metering refers to</w:t>
      </w:r>
      <w:r w:rsidRPr="00A64197">
        <w:t xml:space="preserve"> advanced tools used to collect and report energy usage data.in compliance with Executive Order 13693.</w:t>
      </w:r>
      <w:r w:rsidRPr="00A64197">
        <w:rPr>
          <w:rStyle w:val="FootnoteReference"/>
        </w:rPr>
        <w:footnoteReference w:id="53"/>
      </w:r>
      <w:r w:rsidR="00FA432F" w:rsidRPr="00A64197">
        <w:t xml:space="preserve">  Consistent with the implementing instructions for this</w:t>
      </w:r>
      <w:r w:rsidRPr="00A64197">
        <w:t xml:space="preserve"> Order, M-16-19 requires that</w:t>
      </w:r>
      <w:r w:rsidR="00FA432F" w:rsidRPr="00A64197">
        <w:t xml:space="preserve"> 100% of tiered Federal data centers shall enable the active tracking of Power Usage Efficiency (PUE) by September 30, 2018 and shall have at least one certified Data Center Energy Practitioner (DCEP) assigned to manage PUE performance.</w:t>
      </w:r>
      <w:r w:rsidR="00FA432F" w:rsidRPr="00A64197">
        <w:rPr>
          <w:rStyle w:val="FootnoteReference"/>
        </w:rPr>
        <w:footnoteReference w:id="54"/>
      </w:r>
    </w:p>
    <w:p w:rsidR="001F7793" w:rsidRPr="00A64197" w:rsidRDefault="007F0496" w:rsidP="004A1200">
      <w:r w:rsidRPr="00A64197">
        <w:rPr>
          <w:b/>
        </w:rPr>
        <w:lastRenderedPageBreak/>
        <w:t>Energy Metering Status and Plan</w:t>
      </w:r>
      <w:r w:rsidR="002C46F7" w:rsidRPr="00A64197">
        <w:t xml:space="preserve">:  </w:t>
      </w:r>
      <w:r w:rsidR="00DF744F">
        <w:t xml:space="preserve">DCOI reporting for this metric is required for DHS data centers that are both tiered and agency (i.e., Component) owned. </w:t>
      </w:r>
      <w:r w:rsidR="006F5766">
        <w:t xml:space="preserve">DHS </w:t>
      </w:r>
      <w:r w:rsidR="00D202F9" w:rsidRPr="00A64197">
        <w:t xml:space="preserve">Components </w:t>
      </w:r>
      <w:r w:rsidR="00F67C38" w:rsidRPr="00A64197">
        <w:t xml:space="preserve">report </w:t>
      </w:r>
      <w:r w:rsidR="00F67C38">
        <w:t>seven</w:t>
      </w:r>
      <w:r w:rsidR="006F5766">
        <w:t xml:space="preserve"> (7) agency-owned</w:t>
      </w:r>
      <w:r w:rsidR="001F7793" w:rsidRPr="00A64197">
        <w:t xml:space="preserve"> tiere</w:t>
      </w:r>
      <w:r w:rsidR="004B4B4C" w:rsidRPr="00A64197">
        <w:t>d data centers in DHS including the following.</w:t>
      </w:r>
    </w:p>
    <w:p w:rsidR="00F72A3A" w:rsidRPr="00A64197" w:rsidRDefault="004178C3" w:rsidP="00F72A3A">
      <w:pPr>
        <w:pStyle w:val="Caption"/>
        <w:jc w:val="center"/>
      </w:pPr>
      <w:bookmarkStart w:id="30" w:name="_Toc475635605"/>
      <w:proofErr w:type="gramStart"/>
      <w:r w:rsidRPr="00A64197">
        <w:t xml:space="preserve">Figure </w:t>
      </w:r>
      <w:fldSimple w:instr=" SEQ Figure \* ARABIC ">
        <w:r w:rsidR="00C63078">
          <w:rPr>
            <w:noProof/>
          </w:rPr>
          <w:t>5</w:t>
        </w:r>
      </w:fldSimple>
      <w:r w:rsidRPr="00A64197">
        <w:t>.</w:t>
      </w:r>
      <w:proofErr w:type="gramEnd"/>
      <w:r w:rsidRPr="00A64197">
        <w:t xml:space="preserve"> Metering Status for DHS </w:t>
      </w:r>
      <w:r w:rsidR="006F5766">
        <w:t xml:space="preserve">Agency-Owned </w:t>
      </w:r>
      <w:r w:rsidRPr="00A64197">
        <w:t>Tiered Data Centers</w:t>
      </w:r>
      <w:bookmarkEnd w:id="30"/>
    </w:p>
    <w:tbl>
      <w:tblPr>
        <w:tblStyle w:val="TableGrid"/>
        <w:tblW w:w="0" w:type="auto"/>
        <w:tblInd w:w="108" w:type="dxa"/>
        <w:tblLayout w:type="fixed"/>
        <w:tblLook w:val="04A0" w:firstRow="1" w:lastRow="0" w:firstColumn="1" w:lastColumn="0" w:noHBand="0" w:noVBand="1"/>
      </w:tblPr>
      <w:tblGrid>
        <w:gridCol w:w="4230"/>
        <w:gridCol w:w="810"/>
        <w:gridCol w:w="1170"/>
        <w:gridCol w:w="1440"/>
        <w:gridCol w:w="1800"/>
      </w:tblGrid>
      <w:tr w:rsidR="00F2416B" w:rsidRPr="00A64197" w:rsidTr="00F2416B">
        <w:trPr>
          <w:tblHeader/>
        </w:trPr>
        <w:tc>
          <w:tcPr>
            <w:tcW w:w="4230" w:type="dxa"/>
            <w:vAlign w:val="center"/>
          </w:tcPr>
          <w:p w:rsidR="00F2416B" w:rsidRPr="00A64197" w:rsidRDefault="00F2416B" w:rsidP="00F2416B">
            <w:pPr>
              <w:spacing w:after="0"/>
              <w:jc w:val="center"/>
              <w:rPr>
                <w:b/>
              </w:rPr>
            </w:pPr>
            <w:r w:rsidRPr="00A64197">
              <w:rPr>
                <w:b/>
              </w:rPr>
              <w:t>Tiered Data Center</w:t>
            </w:r>
          </w:p>
        </w:tc>
        <w:tc>
          <w:tcPr>
            <w:tcW w:w="810" w:type="dxa"/>
            <w:vAlign w:val="center"/>
          </w:tcPr>
          <w:p w:rsidR="00F2416B" w:rsidRPr="00A64197" w:rsidRDefault="00F2416B" w:rsidP="00F2416B">
            <w:pPr>
              <w:spacing w:after="0"/>
              <w:jc w:val="center"/>
              <w:rPr>
                <w:b/>
              </w:rPr>
            </w:pPr>
            <w:proofErr w:type="spellStart"/>
            <w:r w:rsidRPr="00A64197">
              <w:rPr>
                <w:b/>
              </w:rPr>
              <w:t>Qty</w:t>
            </w:r>
            <w:proofErr w:type="spellEnd"/>
          </w:p>
        </w:tc>
        <w:tc>
          <w:tcPr>
            <w:tcW w:w="1170" w:type="dxa"/>
            <w:vAlign w:val="center"/>
          </w:tcPr>
          <w:p w:rsidR="00F2416B" w:rsidRPr="00A64197" w:rsidRDefault="00F2416B" w:rsidP="00F2416B">
            <w:pPr>
              <w:spacing w:after="0"/>
              <w:jc w:val="center"/>
              <w:rPr>
                <w:b/>
              </w:rPr>
            </w:pPr>
            <w:r w:rsidRPr="00A64197">
              <w:rPr>
                <w:b/>
              </w:rPr>
              <w:t>Metered</w:t>
            </w:r>
          </w:p>
        </w:tc>
        <w:tc>
          <w:tcPr>
            <w:tcW w:w="1440" w:type="dxa"/>
            <w:vAlign w:val="center"/>
          </w:tcPr>
          <w:p w:rsidR="00F2416B" w:rsidRDefault="00F2416B" w:rsidP="00F2416B">
            <w:pPr>
              <w:spacing w:after="0"/>
              <w:jc w:val="center"/>
              <w:rPr>
                <w:b/>
              </w:rPr>
            </w:pPr>
            <w:r>
              <w:rPr>
                <w:b/>
              </w:rPr>
              <w:t>Automated</w:t>
            </w:r>
          </w:p>
          <w:p w:rsidR="00F2416B" w:rsidRPr="00A64197" w:rsidRDefault="00F2416B" w:rsidP="00F2416B">
            <w:pPr>
              <w:spacing w:after="0"/>
              <w:jc w:val="center"/>
              <w:rPr>
                <w:b/>
              </w:rPr>
            </w:pPr>
            <w:r>
              <w:rPr>
                <w:b/>
              </w:rPr>
              <w:t>Monitoring</w:t>
            </w:r>
          </w:p>
        </w:tc>
        <w:tc>
          <w:tcPr>
            <w:tcW w:w="1800" w:type="dxa"/>
            <w:vAlign w:val="center"/>
          </w:tcPr>
          <w:p w:rsidR="00F2416B" w:rsidRPr="00A64197" w:rsidRDefault="00F2416B" w:rsidP="00F2416B">
            <w:pPr>
              <w:spacing w:after="0"/>
              <w:jc w:val="center"/>
              <w:rPr>
                <w:b/>
              </w:rPr>
            </w:pPr>
            <w:r w:rsidRPr="00A64197">
              <w:rPr>
                <w:b/>
              </w:rPr>
              <w:t>Closing Stage</w:t>
            </w:r>
          </w:p>
        </w:tc>
      </w:tr>
      <w:tr w:rsidR="00F2416B" w:rsidRPr="00A64197" w:rsidTr="00F2416B">
        <w:tc>
          <w:tcPr>
            <w:tcW w:w="4230" w:type="dxa"/>
          </w:tcPr>
          <w:p w:rsidR="00F2416B" w:rsidRPr="00A64197" w:rsidRDefault="00F2416B" w:rsidP="00AA25AF">
            <w:pPr>
              <w:spacing w:after="0"/>
            </w:pPr>
            <w:r w:rsidRPr="00A64197">
              <w:t>FLETC hosted facilities</w:t>
            </w:r>
          </w:p>
          <w:p w:rsidR="00F2416B" w:rsidRPr="00A64197" w:rsidRDefault="00F2416B" w:rsidP="00742544">
            <w:pPr>
              <w:pStyle w:val="ListParagraph"/>
              <w:numPr>
                <w:ilvl w:val="0"/>
                <w:numId w:val="36"/>
              </w:numPr>
              <w:spacing w:after="0"/>
            </w:pPr>
            <w:proofErr w:type="spellStart"/>
            <w:r w:rsidRPr="00A64197">
              <w:t>Glynco</w:t>
            </w:r>
            <w:proofErr w:type="spellEnd"/>
            <w:r w:rsidRPr="00A64197">
              <w:t xml:space="preserve"> CSF</w:t>
            </w:r>
          </w:p>
          <w:p w:rsidR="00F2416B" w:rsidRPr="00A64197" w:rsidRDefault="00F2416B" w:rsidP="00742544">
            <w:pPr>
              <w:pStyle w:val="ListParagraph"/>
              <w:numPr>
                <w:ilvl w:val="0"/>
                <w:numId w:val="36"/>
              </w:numPr>
              <w:spacing w:after="0"/>
            </w:pPr>
            <w:r w:rsidRPr="00A64197">
              <w:t>Cheltenham CSF</w:t>
            </w:r>
          </w:p>
          <w:p w:rsidR="00F2416B" w:rsidRPr="00A64197" w:rsidRDefault="00F2416B" w:rsidP="00742544">
            <w:pPr>
              <w:pStyle w:val="ListParagraph"/>
              <w:numPr>
                <w:ilvl w:val="0"/>
                <w:numId w:val="36"/>
              </w:numPr>
              <w:spacing w:after="0"/>
            </w:pPr>
            <w:r w:rsidRPr="00A64197">
              <w:t>Charleston CSF</w:t>
            </w:r>
          </w:p>
          <w:p w:rsidR="00F2416B" w:rsidRPr="00A64197" w:rsidRDefault="00F2416B" w:rsidP="00742544">
            <w:pPr>
              <w:pStyle w:val="ListParagraph"/>
              <w:numPr>
                <w:ilvl w:val="0"/>
                <w:numId w:val="36"/>
              </w:numPr>
              <w:spacing w:after="0"/>
            </w:pPr>
            <w:r w:rsidRPr="00A64197">
              <w:t>Artesia CSF</w:t>
            </w:r>
          </w:p>
        </w:tc>
        <w:tc>
          <w:tcPr>
            <w:tcW w:w="810" w:type="dxa"/>
          </w:tcPr>
          <w:p w:rsidR="00F2416B" w:rsidRPr="00A64197" w:rsidRDefault="00F2416B" w:rsidP="00C02189">
            <w:pPr>
              <w:spacing w:after="0"/>
              <w:jc w:val="center"/>
            </w:pPr>
            <w:r w:rsidRPr="00A64197">
              <w:t>4</w:t>
            </w:r>
          </w:p>
        </w:tc>
        <w:tc>
          <w:tcPr>
            <w:tcW w:w="1170" w:type="dxa"/>
          </w:tcPr>
          <w:p w:rsidR="00F2416B" w:rsidRPr="00A64197" w:rsidRDefault="00F2416B" w:rsidP="00C02189">
            <w:pPr>
              <w:spacing w:after="0"/>
              <w:jc w:val="center"/>
            </w:pPr>
            <w:r w:rsidRPr="00A64197">
              <w:t>No</w:t>
            </w:r>
          </w:p>
        </w:tc>
        <w:tc>
          <w:tcPr>
            <w:tcW w:w="1440" w:type="dxa"/>
          </w:tcPr>
          <w:p w:rsidR="00F2416B" w:rsidRDefault="00F2416B" w:rsidP="00F2416B">
            <w:pPr>
              <w:spacing w:after="0"/>
              <w:jc w:val="center"/>
            </w:pPr>
            <w:r>
              <w:t>Yes</w:t>
            </w:r>
          </w:p>
        </w:tc>
        <w:tc>
          <w:tcPr>
            <w:tcW w:w="1800" w:type="dxa"/>
          </w:tcPr>
          <w:p w:rsidR="00F2416B" w:rsidRPr="00A64197" w:rsidRDefault="00F2416B" w:rsidP="00AA25AF">
            <w:pPr>
              <w:spacing w:after="0"/>
            </w:pPr>
            <w:r>
              <w:t>Not closing</w:t>
            </w:r>
          </w:p>
        </w:tc>
      </w:tr>
      <w:tr w:rsidR="00F2416B" w:rsidRPr="00A64197" w:rsidTr="00F2416B">
        <w:tc>
          <w:tcPr>
            <w:tcW w:w="4230" w:type="dxa"/>
          </w:tcPr>
          <w:p w:rsidR="00F2416B" w:rsidRPr="00A64197" w:rsidRDefault="00F2416B" w:rsidP="00AA25AF">
            <w:pPr>
              <w:spacing w:after="0"/>
            </w:pPr>
            <w:r>
              <w:t>TSA Freedom Center</w:t>
            </w:r>
          </w:p>
        </w:tc>
        <w:tc>
          <w:tcPr>
            <w:tcW w:w="810" w:type="dxa"/>
          </w:tcPr>
          <w:p w:rsidR="00F2416B" w:rsidRPr="00A64197" w:rsidRDefault="00F2416B" w:rsidP="00C02189">
            <w:pPr>
              <w:spacing w:after="0"/>
              <w:jc w:val="center"/>
            </w:pPr>
            <w:r w:rsidRPr="00A64197">
              <w:t>1</w:t>
            </w:r>
          </w:p>
        </w:tc>
        <w:tc>
          <w:tcPr>
            <w:tcW w:w="1170" w:type="dxa"/>
          </w:tcPr>
          <w:p w:rsidR="00F2416B" w:rsidRPr="00A64197" w:rsidRDefault="00F2416B" w:rsidP="00C02189">
            <w:pPr>
              <w:spacing w:after="0"/>
              <w:jc w:val="center"/>
            </w:pPr>
            <w:r w:rsidRPr="00A64197">
              <w:t>No</w:t>
            </w:r>
          </w:p>
        </w:tc>
        <w:tc>
          <w:tcPr>
            <w:tcW w:w="1440" w:type="dxa"/>
          </w:tcPr>
          <w:p w:rsidR="00F2416B" w:rsidRDefault="00F2416B" w:rsidP="00F2416B">
            <w:pPr>
              <w:spacing w:after="0"/>
              <w:jc w:val="center"/>
            </w:pPr>
            <w:r>
              <w:t>No</w:t>
            </w:r>
          </w:p>
        </w:tc>
        <w:tc>
          <w:tcPr>
            <w:tcW w:w="1800" w:type="dxa"/>
          </w:tcPr>
          <w:p w:rsidR="00F2416B" w:rsidRPr="00A64197" w:rsidRDefault="00F2416B" w:rsidP="00AA25AF">
            <w:pPr>
              <w:spacing w:after="0"/>
            </w:pPr>
            <w:r>
              <w:t>Not closing</w:t>
            </w:r>
          </w:p>
        </w:tc>
      </w:tr>
      <w:tr w:rsidR="00F2416B" w:rsidRPr="00A64197" w:rsidTr="00F2416B">
        <w:tc>
          <w:tcPr>
            <w:tcW w:w="4230" w:type="dxa"/>
          </w:tcPr>
          <w:p w:rsidR="00F2416B" w:rsidRPr="00A64197" w:rsidRDefault="00F2416B" w:rsidP="006F5766">
            <w:pPr>
              <w:spacing w:after="0"/>
            </w:pPr>
            <w:r>
              <w:t>USCG Aviation Logistics Center (ALC)</w:t>
            </w:r>
          </w:p>
        </w:tc>
        <w:tc>
          <w:tcPr>
            <w:tcW w:w="810" w:type="dxa"/>
          </w:tcPr>
          <w:p w:rsidR="00F2416B" w:rsidRPr="00A64197" w:rsidRDefault="00F2416B" w:rsidP="00C02189">
            <w:pPr>
              <w:spacing w:after="0"/>
              <w:jc w:val="center"/>
            </w:pPr>
            <w:r>
              <w:t>1</w:t>
            </w:r>
          </w:p>
        </w:tc>
        <w:tc>
          <w:tcPr>
            <w:tcW w:w="1170" w:type="dxa"/>
          </w:tcPr>
          <w:p w:rsidR="00F2416B" w:rsidRPr="00A64197" w:rsidRDefault="00F2416B" w:rsidP="00C02189">
            <w:pPr>
              <w:spacing w:after="0"/>
              <w:jc w:val="center"/>
            </w:pPr>
            <w:r w:rsidRPr="00A64197">
              <w:t>No</w:t>
            </w:r>
          </w:p>
        </w:tc>
        <w:tc>
          <w:tcPr>
            <w:tcW w:w="1440" w:type="dxa"/>
          </w:tcPr>
          <w:p w:rsidR="00F2416B" w:rsidRPr="00A64197" w:rsidRDefault="00F2416B" w:rsidP="00F2416B">
            <w:pPr>
              <w:spacing w:after="0"/>
              <w:jc w:val="center"/>
            </w:pPr>
            <w:r>
              <w:t>No</w:t>
            </w:r>
          </w:p>
        </w:tc>
        <w:tc>
          <w:tcPr>
            <w:tcW w:w="1800" w:type="dxa"/>
          </w:tcPr>
          <w:p w:rsidR="00F2416B" w:rsidRPr="00A64197" w:rsidRDefault="00F2416B" w:rsidP="00AA25AF">
            <w:pPr>
              <w:spacing w:after="0"/>
            </w:pPr>
            <w:r w:rsidRPr="00A64197">
              <w:t>Considering</w:t>
            </w:r>
          </w:p>
        </w:tc>
      </w:tr>
      <w:tr w:rsidR="00F2416B" w:rsidRPr="00A64197" w:rsidTr="00F2416B">
        <w:tc>
          <w:tcPr>
            <w:tcW w:w="4230" w:type="dxa"/>
          </w:tcPr>
          <w:p w:rsidR="00F2416B" w:rsidRPr="00A64197" w:rsidRDefault="00F2416B" w:rsidP="006F5766">
            <w:pPr>
              <w:spacing w:after="0"/>
            </w:pPr>
            <w:r>
              <w:t>USSS HQ</w:t>
            </w:r>
          </w:p>
        </w:tc>
        <w:tc>
          <w:tcPr>
            <w:tcW w:w="810" w:type="dxa"/>
          </w:tcPr>
          <w:p w:rsidR="00F2416B" w:rsidRPr="00A64197" w:rsidRDefault="00F2416B" w:rsidP="00C02189">
            <w:pPr>
              <w:spacing w:after="0"/>
              <w:jc w:val="center"/>
            </w:pPr>
            <w:r>
              <w:t>1</w:t>
            </w:r>
          </w:p>
        </w:tc>
        <w:tc>
          <w:tcPr>
            <w:tcW w:w="1170" w:type="dxa"/>
          </w:tcPr>
          <w:p w:rsidR="00F2416B" w:rsidRPr="00A64197" w:rsidRDefault="00F2416B" w:rsidP="006F5766">
            <w:pPr>
              <w:spacing w:after="0"/>
              <w:jc w:val="center"/>
            </w:pPr>
            <w:r w:rsidRPr="00A64197">
              <w:t>No</w:t>
            </w:r>
          </w:p>
        </w:tc>
        <w:tc>
          <w:tcPr>
            <w:tcW w:w="1440" w:type="dxa"/>
          </w:tcPr>
          <w:p w:rsidR="00F2416B" w:rsidRPr="00A64197" w:rsidRDefault="00F2416B" w:rsidP="00F2416B">
            <w:pPr>
              <w:spacing w:after="0"/>
              <w:jc w:val="center"/>
            </w:pPr>
            <w:r>
              <w:t>No</w:t>
            </w:r>
          </w:p>
        </w:tc>
        <w:tc>
          <w:tcPr>
            <w:tcW w:w="1800" w:type="dxa"/>
          </w:tcPr>
          <w:p w:rsidR="00F2416B" w:rsidRPr="00A64197" w:rsidRDefault="00F2416B" w:rsidP="00AA25AF">
            <w:pPr>
              <w:spacing w:after="0"/>
            </w:pPr>
            <w:r w:rsidRPr="00A64197">
              <w:t>Not closing</w:t>
            </w:r>
          </w:p>
        </w:tc>
      </w:tr>
    </w:tbl>
    <w:p w:rsidR="00EF17F4" w:rsidRPr="00A64197" w:rsidRDefault="00C91CAE" w:rsidP="00CD434A">
      <w:pPr>
        <w:spacing w:before="120"/>
      </w:pPr>
      <w:r>
        <w:t>Currently, DHS Components report</w:t>
      </w:r>
      <w:r w:rsidR="00FB277F">
        <w:t>ed no</w:t>
      </w:r>
      <w:r w:rsidR="00EF17F4" w:rsidRPr="00A64197">
        <w:t xml:space="preserve"> metering </w:t>
      </w:r>
      <w:r>
        <w:t xml:space="preserve">results for </w:t>
      </w:r>
      <w:r w:rsidR="00FB277F">
        <w:t xml:space="preserve">the 7 </w:t>
      </w:r>
      <w:r>
        <w:t xml:space="preserve">tiered agency-owned data centers </w:t>
      </w:r>
      <w:r w:rsidR="00FB277F">
        <w:t>during the DCOI target period of FY2016 through FY2018</w:t>
      </w:r>
      <w:r w:rsidR="00EF17F4" w:rsidRPr="00A64197">
        <w:t xml:space="preserve">.  </w:t>
      </w:r>
      <w:r w:rsidR="00FB277F">
        <w:t>The DHS CIO will be communicating with the Component owners of these data centers and promot</w:t>
      </w:r>
      <w:r w:rsidR="00E06C45">
        <w:t>ing optimization on this metric.  There are no assumptions as of the date of this report about the roadmap to optimization for these facilities but the dialogue will include review of hosting alternatives where information from Components indicates that there may be consolidation and/or Cloud solutions that cost effectively meet both performance and mission needs of these data centers. DHS will revisit the status and plans for this metrics in the April 2017 update of this document.</w:t>
      </w:r>
    </w:p>
    <w:p w:rsidR="004178C3" w:rsidRPr="00A64197" w:rsidRDefault="004178C3" w:rsidP="004178C3">
      <w:pPr>
        <w:pStyle w:val="Caption"/>
        <w:jc w:val="center"/>
      </w:pPr>
      <w:bookmarkStart w:id="31" w:name="_Toc475635606"/>
      <w:proofErr w:type="gramStart"/>
      <w:r w:rsidRPr="00A64197">
        <w:t xml:space="preserve">Figure </w:t>
      </w:r>
      <w:fldSimple w:instr=" SEQ Figure \* ARABIC ">
        <w:r w:rsidR="00C63078">
          <w:rPr>
            <w:noProof/>
          </w:rPr>
          <w:t>6</w:t>
        </w:r>
      </w:fldSimple>
      <w:r w:rsidR="00BC1149">
        <w:t>.</w:t>
      </w:r>
      <w:proofErr w:type="gramEnd"/>
      <w:r w:rsidR="00BC1149">
        <w:t xml:space="preserve"> </w:t>
      </w:r>
      <w:r w:rsidR="001E0BAF">
        <w:t xml:space="preserve">Component </w:t>
      </w:r>
      <w:r w:rsidR="00C63078">
        <w:t xml:space="preserve">Reported </w:t>
      </w:r>
      <w:r w:rsidRPr="00A64197">
        <w:t>Metering</w:t>
      </w:r>
      <w:r w:rsidR="00C63078">
        <w:t xml:space="preserve"> Performance</w:t>
      </w:r>
      <w:bookmarkEnd w:id="31"/>
    </w:p>
    <w:tbl>
      <w:tblPr>
        <w:tblStyle w:val="TableGrid"/>
        <w:tblW w:w="0" w:type="auto"/>
        <w:tblInd w:w="108" w:type="dxa"/>
        <w:tblLook w:val="04A0" w:firstRow="1" w:lastRow="0" w:firstColumn="1" w:lastColumn="0" w:noHBand="0" w:noVBand="1"/>
      </w:tblPr>
      <w:tblGrid>
        <w:gridCol w:w="2317"/>
        <w:gridCol w:w="1350"/>
        <w:gridCol w:w="1530"/>
        <w:gridCol w:w="1530"/>
        <w:gridCol w:w="1440"/>
        <w:gridCol w:w="1395"/>
      </w:tblGrid>
      <w:tr w:rsidR="00EF17F4" w:rsidRPr="00A64197" w:rsidTr="00C45888">
        <w:tc>
          <w:tcPr>
            <w:tcW w:w="2317" w:type="dxa"/>
            <w:vAlign w:val="center"/>
          </w:tcPr>
          <w:p w:rsidR="00EF17F4" w:rsidRPr="00A64197" w:rsidRDefault="00EF17F4" w:rsidP="00C45888">
            <w:pPr>
              <w:spacing w:after="0"/>
              <w:jc w:val="center"/>
              <w:rPr>
                <w:b/>
                <w:sz w:val="22"/>
                <w:szCs w:val="22"/>
              </w:rPr>
            </w:pPr>
            <w:r w:rsidRPr="00A64197">
              <w:rPr>
                <w:b/>
                <w:sz w:val="22"/>
                <w:szCs w:val="22"/>
              </w:rPr>
              <w:t>Metric</w:t>
            </w:r>
          </w:p>
        </w:tc>
        <w:tc>
          <w:tcPr>
            <w:tcW w:w="1350" w:type="dxa"/>
            <w:vAlign w:val="center"/>
          </w:tcPr>
          <w:p w:rsidR="00EF17F4" w:rsidRPr="00A64197" w:rsidRDefault="00EF17F4" w:rsidP="00C45888">
            <w:pPr>
              <w:spacing w:after="0"/>
              <w:jc w:val="center"/>
              <w:rPr>
                <w:b/>
                <w:sz w:val="22"/>
                <w:szCs w:val="22"/>
              </w:rPr>
            </w:pPr>
            <w:r w:rsidRPr="00A64197">
              <w:rPr>
                <w:b/>
                <w:sz w:val="22"/>
                <w:szCs w:val="22"/>
              </w:rPr>
              <w:t>FY16 Achieved</w:t>
            </w:r>
          </w:p>
        </w:tc>
        <w:tc>
          <w:tcPr>
            <w:tcW w:w="1530" w:type="dxa"/>
            <w:vAlign w:val="center"/>
          </w:tcPr>
          <w:p w:rsidR="00EF17F4" w:rsidRPr="00A64197" w:rsidRDefault="00EF17F4" w:rsidP="00C45888">
            <w:pPr>
              <w:spacing w:after="0"/>
              <w:jc w:val="center"/>
              <w:rPr>
                <w:b/>
                <w:sz w:val="22"/>
                <w:szCs w:val="22"/>
              </w:rPr>
            </w:pPr>
            <w:r w:rsidRPr="00A64197">
              <w:rPr>
                <w:b/>
                <w:sz w:val="22"/>
                <w:szCs w:val="22"/>
              </w:rPr>
              <w:t>FY17 Planned</w:t>
            </w:r>
          </w:p>
        </w:tc>
        <w:tc>
          <w:tcPr>
            <w:tcW w:w="1530" w:type="dxa"/>
            <w:vAlign w:val="center"/>
          </w:tcPr>
          <w:p w:rsidR="00EF17F4" w:rsidRPr="00A64197" w:rsidRDefault="00EF17F4" w:rsidP="00C45888">
            <w:pPr>
              <w:spacing w:after="0"/>
              <w:jc w:val="center"/>
              <w:rPr>
                <w:b/>
                <w:sz w:val="22"/>
                <w:szCs w:val="22"/>
              </w:rPr>
            </w:pPr>
            <w:r w:rsidRPr="00A64197">
              <w:rPr>
                <w:b/>
                <w:sz w:val="22"/>
                <w:szCs w:val="22"/>
              </w:rPr>
              <w:t>FY18 Planned</w:t>
            </w:r>
          </w:p>
        </w:tc>
        <w:tc>
          <w:tcPr>
            <w:tcW w:w="1440" w:type="dxa"/>
            <w:vAlign w:val="center"/>
          </w:tcPr>
          <w:p w:rsidR="00EF17F4" w:rsidRPr="00A64197" w:rsidRDefault="00EF17F4" w:rsidP="00C45888">
            <w:pPr>
              <w:spacing w:after="0"/>
              <w:jc w:val="center"/>
              <w:rPr>
                <w:b/>
                <w:sz w:val="22"/>
                <w:szCs w:val="22"/>
              </w:rPr>
            </w:pPr>
            <w:r w:rsidRPr="00A64197">
              <w:rPr>
                <w:b/>
                <w:sz w:val="22"/>
                <w:szCs w:val="22"/>
              </w:rPr>
              <w:t>FY19 Planned</w:t>
            </w:r>
          </w:p>
        </w:tc>
        <w:tc>
          <w:tcPr>
            <w:tcW w:w="1395" w:type="dxa"/>
            <w:vAlign w:val="center"/>
          </w:tcPr>
          <w:p w:rsidR="00EF17F4" w:rsidRPr="00A64197" w:rsidRDefault="00EF17F4" w:rsidP="00C45888">
            <w:pPr>
              <w:spacing w:after="0"/>
              <w:jc w:val="center"/>
              <w:rPr>
                <w:b/>
                <w:sz w:val="22"/>
                <w:szCs w:val="22"/>
              </w:rPr>
            </w:pPr>
            <w:r w:rsidRPr="00A64197">
              <w:rPr>
                <w:b/>
                <w:sz w:val="22"/>
                <w:szCs w:val="22"/>
              </w:rPr>
              <w:t>FY20 Planned</w:t>
            </w:r>
          </w:p>
        </w:tc>
      </w:tr>
      <w:tr w:rsidR="00EF17F4" w:rsidRPr="00A64197" w:rsidTr="00DD0432">
        <w:trPr>
          <w:trHeight w:val="456"/>
        </w:trPr>
        <w:tc>
          <w:tcPr>
            <w:tcW w:w="2317" w:type="dxa"/>
            <w:vAlign w:val="center"/>
          </w:tcPr>
          <w:p w:rsidR="00EF17F4" w:rsidRPr="00A64197" w:rsidRDefault="00C91CAE" w:rsidP="00DD0432">
            <w:pPr>
              <w:spacing w:after="0"/>
              <w:jc w:val="center"/>
            </w:pPr>
            <w:r>
              <w:t>Meter</w:t>
            </w:r>
            <w:r w:rsidR="006F1188">
              <w:t>ing (Tiered)</w:t>
            </w:r>
          </w:p>
        </w:tc>
        <w:tc>
          <w:tcPr>
            <w:tcW w:w="1350" w:type="dxa"/>
            <w:vAlign w:val="center"/>
          </w:tcPr>
          <w:p w:rsidR="00EF17F4" w:rsidRPr="00A64197" w:rsidRDefault="00C91CAE" w:rsidP="00DD0432">
            <w:pPr>
              <w:spacing w:after="0"/>
              <w:jc w:val="center"/>
            </w:pPr>
            <w:r>
              <w:t>0</w:t>
            </w:r>
            <w:r w:rsidR="00EF17F4" w:rsidRPr="00A64197">
              <w:t>%</w:t>
            </w:r>
          </w:p>
        </w:tc>
        <w:tc>
          <w:tcPr>
            <w:tcW w:w="1530" w:type="dxa"/>
            <w:vAlign w:val="center"/>
          </w:tcPr>
          <w:p w:rsidR="00EF17F4" w:rsidRPr="00A64197" w:rsidRDefault="00C91CAE" w:rsidP="00DD0432">
            <w:pPr>
              <w:spacing w:after="0"/>
              <w:jc w:val="center"/>
            </w:pPr>
            <w:r>
              <w:t>0</w:t>
            </w:r>
            <w:r w:rsidR="00EF17F4" w:rsidRPr="00A64197">
              <w:t>%</w:t>
            </w:r>
          </w:p>
        </w:tc>
        <w:tc>
          <w:tcPr>
            <w:tcW w:w="1530" w:type="dxa"/>
            <w:vAlign w:val="center"/>
          </w:tcPr>
          <w:p w:rsidR="00EF17F4" w:rsidRPr="00A64197" w:rsidRDefault="00C91CAE" w:rsidP="00DD0432">
            <w:pPr>
              <w:spacing w:after="0"/>
              <w:jc w:val="center"/>
            </w:pPr>
            <w:r>
              <w:t>0</w:t>
            </w:r>
            <w:r w:rsidR="00EF17F4" w:rsidRPr="00A64197">
              <w:t>%</w:t>
            </w:r>
          </w:p>
        </w:tc>
        <w:tc>
          <w:tcPr>
            <w:tcW w:w="1440" w:type="dxa"/>
            <w:vAlign w:val="center"/>
          </w:tcPr>
          <w:p w:rsidR="00EF17F4" w:rsidRPr="00A64197" w:rsidRDefault="00C91CAE" w:rsidP="00DD0432">
            <w:pPr>
              <w:spacing w:after="0"/>
              <w:jc w:val="center"/>
            </w:pPr>
            <w:r>
              <w:t>TBD</w:t>
            </w:r>
          </w:p>
        </w:tc>
        <w:tc>
          <w:tcPr>
            <w:tcW w:w="1395" w:type="dxa"/>
            <w:vAlign w:val="center"/>
          </w:tcPr>
          <w:p w:rsidR="00EF17F4" w:rsidRPr="00A64197" w:rsidRDefault="00C91CAE" w:rsidP="00DD0432">
            <w:pPr>
              <w:spacing w:after="0"/>
              <w:jc w:val="center"/>
            </w:pPr>
            <w:r>
              <w:t>TBD</w:t>
            </w:r>
          </w:p>
        </w:tc>
      </w:tr>
      <w:tr w:rsidR="009D1BEA" w:rsidRPr="00A64197" w:rsidTr="00DD0432">
        <w:trPr>
          <w:trHeight w:val="456"/>
        </w:trPr>
        <w:tc>
          <w:tcPr>
            <w:tcW w:w="2317" w:type="dxa"/>
            <w:vAlign w:val="center"/>
          </w:tcPr>
          <w:p w:rsidR="009D1BEA" w:rsidRPr="00A64197" w:rsidRDefault="007470DB" w:rsidP="002032B2">
            <w:pPr>
              <w:spacing w:after="0"/>
              <w:jc w:val="center"/>
            </w:pPr>
            <w:r w:rsidRPr="00A64197">
              <w:t xml:space="preserve">Projected </w:t>
            </w:r>
            <w:r w:rsidR="002032B2" w:rsidRPr="00A64197">
              <w:t xml:space="preserve">Cost </w:t>
            </w:r>
            <w:r w:rsidR="00F36F62" w:rsidRPr="00A64197">
              <w:t>Increase</w:t>
            </w:r>
          </w:p>
        </w:tc>
        <w:tc>
          <w:tcPr>
            <w:tcW w:w="1350" w:type="dxa"/>
            <w:vAlign w:val="center"/>
          </w:tcPr>
          <w:p w:rsidR="009D1BEA" w:rsidRPr="00A64197" w:rsidRDefault="009D1BEA" w:rsidP="00DD0432">
            <w:pPr>
              <w:spacing w:after="0"/>
              <w:jc w:val="center"/>
            </w:pPr>
          </w:p>
        </w:tc>
        <w:tc>
          <w:tcPr>
            <w:tcW w:w="1530" w:type="dxa"/>
            <w:vAlign w:val="center"/>
          </w:tcPr>
          <w:p w:rsidR="009D1BEA" w:rsidRPr="00A64197" w:rsidRDefault="007A4789" w:rsidP="00DD0432">
            <w:pPr>
              <w:spacing w:after="0"/>
              <w:jc w:val="center"/>
            </w:pPr>
            <w:r>
              <w:t>TBD</w:t>
            </w:r>
          </w:p>
        </w:tc>
        <w:tc>
          <w:tcPr>
            <w:tcW w:w="1530" w:type="dxa"/>
            <w:vAlign w:val="center"/>
          </w:tcPr>
          <w:p w:rsidR="009D1BEA" w:rsidRPr="00A64197" w:rsidRDefault="007A4789" w:rsidP="00C45888">
            <w:pPr>
              <w:spacing w:after="0"/>
              <w:jc w:val="center"/>
            </w:pPr>
            <w:r>
              <w:t>TBD</w:t>
            </w:r>
          </w:p>
        </w:tc>
        <w:tc>
          <w:tcPr>
            <w:tcW w:w="1440" w:type="dxa"/>
            <w:vAlign w:val="center"/>
          </w:tcPr>
          <w:p w:rsidR="009D1BEA" w:rsidRPr="00A64197" w:rsidRDefault="007A4789" w:rsidP="007A4789">
            <w:pPr>
              <w:spacing w:after="0"/>
              <w:jc w:val="center"/>
            </w:pPr>
            <w:r>
              <w:t>TBD</w:t>
            </w:r>
          </w:p>
        </w:tc>
        <w:tc>
          <w:tcPr>
            <w:tcW w:w="1395" w:type="dxa"/>
            <w:vAlign w:val="center"/>
          </w:tcPr>
          <w:p w:rsidR="009D1BEA" w:rsidRPr="00A64197" w:rsidRDefault="007A4789" w:rsidP="00B91D53">
            <w:pPr>
              <w:spacing w:after="0"/>
              <w:jc w:val="center"/>
            </w:pPr>
            <w:r>
              <w:t>TBD</w:t>
            </w:r>
          </w:p>
        </w:tc>
      </w:tr>
    </w:tbl>
    <w:p w:rsidR="006B7869" w:rsidRPr="00A64197" w:rsidRDefault="00F45AC8" w:rsidP="00E912B6">
      <w:pPr>
        <w:spacing w:before="120"/>
      </w:pPr>
      <w:r w:rsidRPr="00A64197">
        <w:rPr>
          <w:u w:val="single"/>
        </w:rPr>
        <w:lastRenderedPageBreak/>
        <w:t>Energy Metering Projected</w:t>
      </w:r>
      <w:r w:rsidR="00B3502A" w:rsidRPr="00A64197">
        <w:rPr>
          <w:u w:val="single"/>
        </w:rPr>
        <w:t xml:space="preserve"> Cost Impact</w:t>
      </w:r>
      <w:r w:rsidR="002032B2" w:rsidRPr="00A64197">
        <w:t xml:space="preserve">:  </w:t>
      </w:r>
      <w:r w:rsidR="00E06C45">
        <w:t xml:space="preserve">As Components respond with optimization plans on this metric, </w:t>
      </w:r>
      <w:r w:rsidR="006B7869" w:rsidRPr="00A64197">
        <w:t>DHS will project</w:t>
      </w:r>
      <w:r w:rsidR="00B3502A" w:rsidRPr="00A64197">
        <w:t xml:space="preserve"> </w:t>
      </w:r>
      <w:r w:rsidR="000C1376" w:rsidRPr="00A64197">
        <w:t xml:space="preserve">a </w:t>
      </w:r>
      <w:r w:rsidR="00B3502A" w:rsidRPr="00A64197">
        <w:t>cost impact</w:t>
      </w:r>
      <w:r w:rsidR="00930897" w:rsidRPr="00A64197">
        <w:t xml:space="preserve"> for this measure on the basis of</w:t>
      </w:r>
      <w:r w:rsidR="00B3502A" w:rsidRPr="00A64197">
        <w:t xml:space="preserve"> the cost</w:t>
      </w:r>
      <w:r w:rsidR="00930897" w:rsidRPr="00A64197">
        <w:t xml:space="preserve"> increases </w:t>
      </w:r>
      <w:r w:rsidR="000C1376" w:rsidRPr="00A64197">
        <w:t>incurred by Components</w:t>
      </w:r>
      <w:r w:rsidR="00B3502A" w:rsidRPr="00A64197">
        <w:t xml:space="preserve"> installing </w:t>
      </w:r>
      <w:r w:rsidR="006B7869" w:rsidRPr="00A64197">
        <w:t>energy</w:t>
      </w:r>
      <w:r w:rsidR="00B3502A" w:rsidRPr="00A64197">
        <w:t xml:space="preserve"> metering equipment and employing technical staff certified to monitor, measure and report metered data.  The cost impact will be measured on the basis of increases in cost </w:t>
      </w:r>
      <w:r w:rsidR="000C1376" w:rsidRPr="00A64197">
        <w:t xml:space="preserve">and spend </w:t>
      </w:r>
      <w:r w:rsidR="00B3502A" w:rsidRPr="00A64197">
        <w:t>b</w:t>
      </w:r>
      <w:r w:rsidR="000C1376" w:rsidRPr="00A64197">
        <w:t>y data center and fiscal year. Therefore, fo</w:t>
      </w:r>
      <w:r w:rsidR="00E06C45">
        <w:t>r this measure, DHS does not expect</w:t>
      </w:r>
      <w:r w:rsidR="000C1376" w:rsidRPr="00A64197">
        <w:t xml:space="preserve"> a cost avoidance or direct savings.</w:t>
      </w:r>
      <w:r w:rsidR="00E06C45">
        <w:t xml:space="preserve">  However, as facilities become metered, we do expect</w:t>
      </w:r>
      <w:r w:rsidR="00361E2C">
        <w:t xml:space="preserve"> both cost avoidance and </w:t>
      </w:r>
      <w:r w:rsidR="000C1376" w:rsidRPr="00A64197">
        <w:t>savings on the resulting improvements in</w:t>
      </w:r>
      <w:r w:rsidR="00B3502A" w:rsidRPr="00A64197">
        <w:t xml:space="preserve"> Power Usage Effectiveness (PUE)</w:t>
      </w:r>
      <w:r w:rsidR="000C1376" w:rsidRPr="00A64197">
        <w:t>.</w:t>
      </w:r>
    </w:p>
    <w:p w:rsidR="001E3B8E" w:rsidRPr="00E04ABD" w:rsidRDefault="001E3B8E" w:rsidP="00E912B6">
      <w:pPr>
        <w:pStyle w:val="Heading3"/>
      </w:pPr>
      <w:bookmarkStart w:id="32" w:name="_Toc475636847"/>
      <w:r w:rsidRPr="00E04ABD">
        <w:t>Power Efficiency</w:t>
      </w:r>
      <w:bookmarkEnd w:id="32"/>
    </w:p>
    <w:p w:rsidR="001E3B8E" w:rsidRPr="00A64197" w:rsidRDefault="001E3B8E" w:rsidP="00E912B6">
      <w:pPr>
        <w:spacing w:before="120"/>
      </w:pPr>
      <w:r w:rsidRPr="00A64197">
        <w:rPr>
          <w:b/>
        </w:rPr>
        <w:t>Powe</w:t>
      </w:r>
      <w:r w:rsidR="00CC344C" w:rsidRPr="00A64197">
        <w:rPr>
          <w:b/>
        </w:rPr>
        <w:t>r Effectiveness</w:t>
      </w:r>
      <w:r w:rsidRPr="00A64197">
        <w:rPr>
          <w:b/>
        </w:rPr>
        <w:t xml:space="preserve"> Scope and Definitions</w:t>
      </w:r>
      <w:r w:rsidRPr="00A64197">
        <w:t>:</w:t>
      </w:r>
      <w:r w:rsidR="008620C2" w:rsidRPr="00A64197">
        <w:t xml:space="preserve"> </w:t>
      </w:r>
      <w:r w:rsidR="00CC344C" w:rsidRPr="00A64197">
        <w:t xml:space="preserve">Power Usage Effectiveness (PUE) is measured as the ratio of total amount of energy used by a computer data center facility to the energy delivered to the computing equipment.  </w:t>
      </w:r>
      <w:r w:rsidR="00342377" w:rsidRPr="00A64197">
        <w:t xml:space="preserve">OMB </w:t>
      </w:r>
      <w:r w:rsidR="00CC344C" w:rsidRPr="00A64197">
        <w:t>will monitor energy effectiveness</w:t>
      </w:r>
      <w:r w:rsidR="008620C2" w:rsidRPr="00A64197">
        <w:t xml:space="preserve"> of data center power and cooling infrastructure throu</w:t>
      </w:r>
      <w:r w:rsidR="00CC344C" w:rsidRPr="00A64197">
        <w:t xml:space="preserve">gh the PUE </w:t>
      </w:r>
      <w:r w:rsidR="008620C2" w:rsidRPr="00A64197">
        <w:t>metric</w:t>
      </w:r>
      <w:r w:rsidR="00CC344C" w:rsidRPr="00A64197">
        <w:t xml:space="preserve"> c</w:t>
      </w:r>
      <w:r w:rsidR="008620C2" w:rsidRPr="00A64197">
        <w:t>onsist</w:t>
      </w:r>
      <w:r w:rsidR="00D10903" w:rsidRPr="00A64197">
        <w:t>ent with Executive Order 13693</w:t>
      </w:r>
      <w:r w:rsidR="00CC344C" w:rsidRPr="00A64197">
        <w:t>.</w:t>
      </w:r>
      <w:r w:rsidR="00D10903" w:rsidRPr="00A64197">
        <w:rPr>
          <w:rStyle w:val="FootnoteReference"/>
        </w:rPr>
        <w:footnoteReference w:id="55"/>
      </w:r>
      <w:r w:rsidR="00D10903" w:rsidRPr="00A64197">
        <w:t xml:space="preserve"> </w:t>
      </w:r>
      <w:r w:rsidR="00CC344C" w:rsidRPr="00A64197">
        <w:t xml:space="preserve"> </w:t>
      </w:r>
      <w:r w:rsidR="00D10903" w:rsidRPr="00A64197">
        <w:t>OMB M-16-19 requires that the PUE in all tiered data centers be actively tracked by September 30, 2018.  Additionally, M-16-19 directs that existing tiered data centers to achieve and maintain a PUE of less than 1.5 by September 30, 2018 and that all new data centers be designed and operated to maintain a PUE no greater than 1.4 (but are encouraged to be designed and operated to achieve a PUE of no greater than 1.2</w:t>
      </w:r>
      <w:r w:rsidR="00342377" w:rsidRPr="00A64197">
        <w:t>)</w:t>
      </w:r>
      <w:r w:rsidR="00D10903" w:rsidRPr="00A64197">
        <w:t>.</w:t>
      </w:r>
    </w:p>
    <w:p w:rsidR="00C545FC" w:rsidRDefault="00C15C10" w:rsidP="00C545FC">
      <w:pPr>
        <w:spacing w:before="120"/>
      </w:pPr>
      <w:r w:rsidRPr="00A64197">
        <w:rPr>
          <w:b/>
        </w:rPr>
        <w:t>Power Effectiveness</w:t>
      </w:r>
      <w:r w:rsidR="001E3B8E" w:rsidRPr="00A64197">
        <w:rPr>
          <w:b/>
        </w:rPr>
        <w:t xml:space="preserve"> Status and Plan</w:t>
      </w:r>
      <w:r w:rsidR="001E3B8E" w:rsidRPr="00A64197">
        <w:t>:</w:t>
      </w:r>
      <w:r w:rsidR="00592602">
        <w:t xml:space="preserve"> </w:t>
      </w:r>
      <w:r w:rsidR="00DF744F">
        <w:t>DCOI r</w:t>
      </w:r>
      <w:r w:rsidR="00C20C68">
        <w:t xml:space="preserve">eporting for this metric </w:t>
      </w:r>
      <w:r w:rsidR="00DF744F">
        <w:t>is</w:t>
      </w:r>
      <w:r w:rsidR="00C20C68">
        <w:t xml:space="preserve"> required for DHS</w:t>
      </w:r>
      <w:r w:rsidR="00DF744F">
        <w:t xml:space="preserve"> data centers that are both tiered and agency (i.e., Component) owned. </w:t>
      </w:r>
      <w:r w:rsidR="00592602">
        <w:t>DHS Components for the 7 tiered agency-owned data centers did not report actual and planned energy usage</w:t>
      </w:r>
      <w:r w:rsidR="00592602" w:rsidRPr="00A64197">
        <w:t xml:space="preserve">.  </w:t>
      </w:r>
      <w:r w:rsidR="00592602">
        <w:t>The DHS CIO will be communicating with the Component owners of these data centers and promoting optimization on this metric.  There are no assumptions as of the date of this report about the roadmap to optimization for these facilities but the dialogue will include review of hosting alternatives where information from Components indicates that there may be consolidation and/or Cloud solutions that cost effectively meet both performance and mission needs of these data centers. DHS will revisit the status and plans for this metrics in the April 2017 update of this document.</w:t>
      </w:r>
    </w:p>
    <w:p w:rsidR="000E07A6" w:rsidRPr="00A64197" w:rsidRDefault="007470DB" w:rsidP="00E912B6">
      <w:pPr>
        <w:pStyle w:val="Caption"/>
        <w:spacing w:before="120"/>
        <w:jc w:val="center"/>
      </w:pPr>
      <w:bookmarkStart w:id="33" w:name="_Toc475635607"/>
      <w:proofErr w:type="gramStart"/>
      <w:r w:rsidRPr="00A64197">
        <w:t xml:space="preserve">Figure </w:t>
      </w:r>
      <w:fldSimple w:instr=" SEQ Figure \* ARABIC ">
        <w:r w:rsidR="00C63078">
          <w:rPr>
            <w:noProof/>
          </w:rPr>
          <w:t>7</w:t>
        </w:r>
      </w:fldSimple>
      <w:r w:rsidR="00C63078">
        <w:t>.</w:t>
      </w:r>
      <w:proofErr w:type="gramEnd"/>
      <w:r w:rsidR="00C63078">
        <w:t xml:space="preserve"> Component Reported</w:t>
      </w:r>
      <w:r w:rsidRPr="00A64197">
        <w:t xml:space="preserve"> PUE</w:t>
      </w:r>
      <w:r w:rsidR="00C63078">
        <w:t xml:space="preserve"> Performance</w:t>
      </w:r>
      <w:bookmarkEnd w:id="33"/>
    </w:p>
    <w:tbl>
      <w:tblPr>
        <w:tblStyle w:val="TableGrid"/>
        <w:tblW w:w="0" w:type="auto"/>
        <w:tblInd w:w="108" w:type="dxa"/>
        <w:tblLook w:val="04A0" w:firstRow="1" w:lastRow="0" w:firstColumn="1" w:lastColumn="0" w:noHBand="0" w:noVBand="1"/>
      </w:tblPr>
      <w:tblGrid>
        <w:gridCol w:w="2520"/>
        <w:gridCol w:w="1440"/>
        <w:gridCol w:w="1440"/>
        <w:gridCol w:w="1327"/>
        <w:gridCol w:w="1440"/>
        <w:gridCol w:w="1395"/>
      </w:tblGrid>
      <w:tr w:rsidR="000E07A6" w:rsidRPr="00A64197" w:rsidTr="00297DB4">
        <w:trPr>
          <w:tblHeader/>
        </w:trPr>
        <w:tc>
          <w:tcPr>
            <w:tcW w:w="2520" w:type="dxa"/>
            <w:vAlign w:val="center"/>
          </w:tcPr>
          <w:p w:rsidR="000E07A6" w:rsidRPr="00A64197" w:rsidRDefault="000E07A6" w:rsidP="00E912B6">
            <w:pPr>
              <w:spacing w:before="120"/>
              <w:jc w:val="center"/>
              <w:rPr>
                <w:b/>
                <w:sz w:val="22"/>
                <w:szCs w:val="22"/>
              </w:rPr>
            </w:pPr>
            <w:r w:rsidRPr="00A64197">
              <w:rPr>
                <w:b/>
                <w:sz w:val="22"/>
                <w:szCs w:val="22"/>
              </w:rPr>
              <w:lastRenderedPageBreak/>
              <w:t>Metric</w:t>
            </w:r>
          </w:p>
        </w:tc>
        <w:tc>
          <w:tcPr>
            <w:tcW w:w="1440" w:type="dxa"/>
            <w:vAlign w:val="center"/>
          </w:tcPr>
          <w:p w:rsidR="000E07A6" w:rsidRPr="00A64197" w:rsidRDefault="000E07A6" w:rsidP="00E912B6">
            <w:pPr>
              <w:spacing w:before="120"/>
              <w:jc w:val="center"/>
              <w:rPr>
                <w:b/>
                <w:sz w:val="22"/>
                <w:szCs w:val="22"/>
              </w:rPr>
            </w:pPr>
            <w:r w:rsidRPr="00A64197">
              <w:rPr>
                <w:b/>
                <w:sz w:val="22"/>
                <w:szCs w:val="22"/>
              </w:rPr>
              <w:t>FY16 Achieved</w:t>
            </w:r>
          </w:p>
        </w:tc>
        <w:tc>
          <w:tcPr>
            <w:tcW w:w="1440" w:type="dxa"/>
            <w:vAlign w:val="center"/>
          </w:tcPr>
          <w:p w:rsidR="000E07A6" w:rsidRPr="00A64197" w:rsidRDefault="000E07A6" w:rsidP="00E912B6">
            <w:pPr>
              <w:spacing w:before="120"/>
              <w:jc w:val="center"/>
              <w:rPr>
                <w:b/>
                <w:sz w:val="22"/>
                <w:szCs w:val="22"/>
              </w:rPr>
            </w:pPr>
            <w:r w:rsidRPr="00A64197">
              <w:rPr>
                <w:b/>
                <w:sz w:val="22"/>
                <w:szCs w:val="22"/>
              </w:rPr>
              <w:t>FY17 Planned</w:t>
            </w:r>
          </w:p>
        </w:tc>
        <w:tc>
          <w:tcPr>
            <w:tcW w:w="1327" w:type="dxa"/>
            <w:vAlign w:val="center"/>
          </w:tcPr>
          <w:p w:rsidR="000E07A6" w:rsidRPr="00A64197" w:rsidRDefault="000E07A6" w:rsidP="00E912B6">
            <w:pPr>
              <w:spacing w:before="120"/>
              <w:jc w:val="center"/>
              <w:rPr>
                <w:b/>
                <w:sz w:val="22"/>
                <w:szCs w:val="22"/>
              </w:rPr>
            </w:pPr>
            <w:r w:rsidRPr="00A64197">
              <w:rPr>
                <w:b/>
                <w:sz w:val="22"/>
                <w:szCs w:val="22"/>
              </w:rPr>
              <w:t>FY18 Planned</w:t>
            </w:r>
          </w:p>
        </w:tc>
        <w:tc>
          <w:tcPr>
            <w:tcW w:w="1440" w:type="dxa"/>
            <w:vAlign w:val="center"/>
          </w:tcPr>
          <w:p w:rsidR="000E07A6" w:rsidRPr="00A64197" w:rsidRDefault="000E07A6" w:rsidP="00E912B6">
            <w:pPr>
              <w:spacing w:before="120"/>
              <w:jc w:val="center"/>
              <w:rPr>
                <w:b/>
                <w:sz w:val="22"/>
                <w:szCs w:val="22"/>
              </w:rPr>
            </w:pPr>
            <w:r w:rsidRPr="00A64197">
              <w:rPr>
                <w:b/>
                <w:sz w:val="22"/>
                <w:szCs w:val="22"/>
              </w:rPr>
              <w:t>FY19 Planned</w:t>
            </w:r>
          </w:p>
        </w:tc>
        <w:tc>
          <w:tcPr>
            <w:tcW w:w="1395" w:type="dxa"/>
            <w:vAlign w:val="center"/>
          </w:tcPr>
          <w:p w:rsidR="000E07A6" w:rsidRPr="00A64197" w:rsidRDefault="000E07A6" w:rsidP="00E912B6">
            <w:pPr>
              <w:spacing w:before="120"/>
              <w:jc w:val="center"/>
              <w:rPr>
                <w:b/>
                <w:sz w:val="22"/>
                <w:szCs w:val="22"/>
              </w:rPr>
            </w:pPr>
            <w:r w:rsidRPr="00A64197">
              <w:rPr>
                <w:b/>
                <w:sz w:val="22"/>
                <w:szCs w:val="22"/>
              </w:rPr>
              <w:t>FY20 Planned</w:t>
            </w:r>
          </w:p>
        </w:tc>
      </w:tr>
      <w:tr w:rsidR="000E07A6" w:rsidRPr="00A64197" w:rsidTr="00BD0412">
        <w:trPr>
          <w:trHeight w:val="519"/>
        </w:trPr>
        <w:tc>
          <w:tcPr>
            <w:tcW w:w="2520" w:type="dxa"/>
            <w:vAlign w:val="center"/>
          </w:tcPr>
          <w:p w:rsidR="000E07A6" w:rsidRPr="00A64197" w:rsidRDefault="000E07A6" w:rsidP="00E912B6">
            <w:pPr>
              <w:spacing w:before="120"/>
              <w:jc w:val="center"/>
            </w:pPr>
            <w:r w:rsidRPr="00A64197">
              <w:t>PUE</w:t>
            </w:r>
          </w:p>
        </w:tc>
        <w:tc>
          <w:tcPr>
            <w:tcW w:w="1440" w:type="dxa"/>
            <w:vAlign w:val="center"/>
          </w:tcPr>
          <w:p w:rsidR="000E07A6" w:rsidRPr="00A64197" w:rsidRDefault="00D613F6" w:rsidP="00E912B6">
            <w:pPr>
              <w:spacing w:before="120"/>
              <w:jc w:val="center"/>
            </w:pPr>
            <w:r>
              <w:t>0</w:t>
            </w:r>
          </w:p>
        </w:tc>
        <w:tc>
          <w:tcPr>
            <w:tcW w:w="1440" w:type="dxa"/>
            <w:vAlign w:val="center"/>
          </w:tcPr>
          <w:p w:rsidR="000E07A6" w:rsidRPr="00A64197" w:rsidRDefault="00D613F6" w:rsidP="00E912B6">
            <w:pPr>
              <w:spacing w:before="120"/>
              <w:jc w:val="center"/>
            </w:pPr>
            <w:r>
              <w:t>0</w:t>
            </w:r>
          </w:p>
        </w:tc>
        <w:tc>
          <w:tcPr>
            <w:tcW w:w="1327" w:type="dxa"/>
            <w:vAlign w:val="center"/>
          </w:tcPr>
          <w:p w:rsidR="000E07A6" w:rsidRPr="00A64197" w:rsidRDefault="00D613F6" w:rsidP="00E912B6">
            <w:pPr>
              <w:spacing w:before="120"/>
              <w:jc w:val="center"/>
            </w:pPr>
            <w:r>
              <w:t>0</w:t>
            </w:r>
          </w:p>
        </w:tc>
        <w:tc>
          <w:tcPr>
            <w:tcW w:w="1440" w:type="dxa"/>
            <w:vAlign w:val="center"/>
          </w:tcPr>
          <w:p w:rsidR="000E07A6" w:rsidRPr="00A64197" w:rsidRDefault="00592602" w:rsidP="00E912B6">
            <w:pPr>
              <w:spacing w:before="120"/>
              <w:jc w:val="center"/>
            </w:pPr>
            <w:r>
              <w:t>TBD</w:t>
            </w:r>
          </w:p>
        </w:tc>
        <w:tc>
          <w:tcPr>
            <w:tcW w:w="1395" w:type="dxa"/>
            <w:vAlign w:val="center"/>
          </w:tcPr>
          <w:p w:rsidR="000E07A6" w:rsidRPr="00A64197" w:rsidRDefault="00592602" w:rsidP="00E912B6">
            <w:pPr>
              <w:spacing w:before="120"/>
              <w:jc w:val="center"/>
            </w:pPr>
            <w:r>
              <w:t>TBD</w:t>
            </w:r>
          </w:p>
        </w:tc>
      </w:tr>
      <w:tr w:rsidR="00C45888" w:rsidRPr="00A64197" w:rsidTr="00BD0412">
        <w:trPr>
          <w:trHeight w:val="519"/>
        </w:trPr>
        <w:tc>
          <w:tcPr>
            <w:tcW w:w="2520" w:type="dxa"/>
            <w:vAlign w:val="center"/>
          </w:tcPr>
          <w:p w:rsidR="00C45888" w:rsidRPr="00A64197" w:rsidRDefault="007470DB" w:rsidP="00E912B6">
            <w:pPr>
              <w:spacing w:before="120"/>
              <w:jc w:val="center"/>
            </w:pPr>
            <w:r w:rsidRPr="00A64197">
              <w:t>Cost Avoidance</w:t>
            </w:r>
          </w:p>
        </w:tc>
        <w:tc>
          <w:tcPr>
            <w:tcW w:w="1440" w:type="dxa"/>
            <w:vAlign w:val="center"/>
          </w:tcPr>
          <w:p w:rsidR="00C45888" w:rsidRPr="00A64197" w:rsidRDefault="000758DE" w:rsidP="00E912B6">
            <w:pPr>
              <w:spacing w:before="120"/>
              <w:jc w:val="center"/>
            </w:pPr>
            <w:r>
              <w:t>$0</w:t>
            </w:r>
          </w:p>
        </w:tc>
        <w:tc>
          <w:tcPr>
            <w:tcW w:w="1440" w:type="dxa"/>
            <w:vAlign w:val="center"/>
          </w:tcPr>
          <w:p w:rsidR="00C45888" w:rsidRPr="00A64197" w:rsidRDefault="000758DE" w:rsidP="00E912B6">
            <w:pPr>
              <w:spacing w:before="120"/>
              <w:jc w:val="center"/>
            </w:pPr>
            <w:r>
              <w:t>TBD</w:t>
            </w:r>
          </w:p>
        </w:tc>
        <w:tc>
          <w:tcPr>
            <w:tcW w:w="1327" w:type="dxa"/>
            <w:vAlign w:val="center"/>
          </w:tcPr>
          <w:p w:rsidR="00C45888" w:rsidRPr="00A64197" w:rsidRDefault="000758DE" w:rsidP="00E912B6">
            <w:pPr>
              <w:spacing w:before="120"/>
              <w:jc w:val="center"/>
            </w:pPr>
            <w:r>
              <w:t>TBD</w:t>
            </w:r>
          </w:p>
        </w:tc>
        <w:tc>
          <w:tcPr>
            <w:tcW w:w="1440" w:type="dxa"/>
            <w:vAlign w:val="center"/>
          </w:tcPr>
          <w:p w:rsidR="00C45888" w:rsidRPr="00A64197" w:rsidRDefault="000758DE" w:rsidP="00E912B6">
            <w:pPr>
              <w:spacing w:before="120"/>
              <w:jc w:val="center"/>
            </w:pPr>
            <w:r>
              <w:t>TBD</w:t>
            </w:r>
          </w:p>
        </w:tc>
        <w:tc>
          <w:tcPr>
            <w:tcW w:w="1395" w:type="dxa"/>
            <w:vAlign w:val="center"/>
          </w:tcPr>
          <w:p w:rsidR="00C45888" w:rsidRPr="00A64197" w:rsidRDefault="000758DE" w:rsidP="00E912B6">
            <w:pPr>
              <w:spacing w:before="120"/>
              <w:jc w:val="center"/>
            </w:pPr>
            <w:r>
              <w:t>TBD</w:t>
            </w:r>
          </w:p>
        </w:tc>
      </w:tr>
      <w:tr w:rsidR="006D2457" w:rsidRPr="00A64197" w:rsidTr="00BD0412">
        <w:trPr>
          <w:trHeight w:val="519"/>
        </w:trPr>
        <w:tc>
          <w:tcPr>
            <w:tcW w:w="2520" w:type="dxa"/>
            <w:vAlign w:val="center"/>
          </w:tcPr>
          <w:p w:rsidR="006D2457" w:rsidRPr="00A64197" w:rsidRDefault="009D0B82" w:rsidP="00E912B6">
            <w:pPr>
              <w:spacing w:before="120"/>
              <w:jc w:val="center"/>
            </w:pPr>
            <w:r w:rsidRPr="00A64197">
              <w:t xml:space="preserve">Operations </w:t>
            </w:r>
            <w:r w:rsidR="003470B9" w:rsidRPr="00A64197">
              <w:t>Savings</w:t>
            </w:r>
          </w:p>
        </w:tc>
        <w:tc>
          <w:tcPr>
            <w:tcW w:w="1440" w:type="dxa"/>
            <w:vAlign w:val="center"/>
          </w:tcPr>
          <w:p w:rsidR="006D2457" w:rsidRPr="00A64197" w:rsidRDefault="000758DE" w:rsidP="00E912B6">
            <w:pPr>
              <w:spacing w:before="120"/>
              <w:jc w:val="center"/>
            </w:pPr>
            <w:r>
              <w:t>$0</w:t>
            </w:r>
          </w:p>
        </w:tc>
        <w:tc>
          <w:tcPr>
            <w:tcW w:w="1440" w:type="dxa"/>
            <w:vAlign w:val="center"/>
          </w:tcPr>
          <w:p w:rsidR="006D2457" w:rsidRPr="00A64197" w:rsidRDefault="000758DE" w:rsidP="00E912B6">
            <w:pPr>
              <w:spacing w:before="120"/>
              <w:jc w:val="center"/>
            </w:pPr>
            <w:r>
              <w:t>TBD</w:t>
            </w:r>
          </w:p>
        </w:tc>
        <w:tc>
          <w:tcPr>
            <w:tcW w:w="1327" w:type="dxa"/>
            <w:vAlign w:val="center"/>
          </w:tcPr>
          <w:p w:rsidR="006D2457" w:rsidRPr="00A64197" w:rsidRDefault="000758DE" w:rsidP="00E912B6">
            <w:pPr>
              <w:spacing w:before="120"/>
              <w:jc w:val="center"/>
            </w:pPr>
            <w:r>
              <w:t>TBD</w:t>
            </w:r>
          </w:p>
        </w:tc>
        <w:tc>
          <w:tcPr>
            <w:tcW w:w="1440" w:type="dxa"/>
            <w:vAlign w:val="center"/>
          </w:tcPr>
          <w:p w:rsidR="006D2457" w:rsidRPr="00A64197" w:rsidRDefault="000758DE" w:rsidP="00E912B6">
            <w:pPr>
              <w:spacing w:before="120"/>
              <w:jc w:val="center"/>
            </w:pPr>
            <w:r>
              <w:t>TBD</w:t>
            </w:r>
          </w:p>
        </w:tc>
        <w:tc>
          <w:tcPr>
            <w:tcW w:w="1395" w:type="dxa"/>
            <w:vAlign w:val="center"/>
          </w:tcPr>
          <w:p w:rsidR="006D2457" w:rsidRPr="00A64197" w:rsidRDefault="000758DE" w:rsidP="00E912B6">
            <w:pPr>
              <w:spacing w:before="120"/>
              <w:jc w:val="center"/>
            </w:pPr>
            <w:r>
              <w:t>TBD</w:t>
            </w:r>
          </w:p>
        </w:tc>
      </w:tr>
    </w:tbl>
    <w:p w:rsidR="00C15C10" w:rsidRPr="00A64197" w:rsidRDefault="00C15C10" w:rsidP="00E912B6">
      <w:pPr>
        <w:spacing w:before="120"/>
      </w:pPr>
      <w:r w:rsidRPr="00A64197">
        <w:rPr>
          <w:u w:val="single"/>
        </w:rPr>
        <w:t>Power Effectiveness Projected Savings and Avoidance</w:t>
      </w:r>
      <w:r w:rsidRPr="00A64197">
        <w:t xml:space="preserve">:  </w:t>
      </w:r>
      <w:r w:rsidR="000758DE">
        <w:t xml:space="preserve">Once Components for these 7 facilities report energy consumption, </w:t>
      </w:r>
      <w:r w:rsidRPr="00A64197">
        <w:t>DHS will project cost avoidance for this measure on the basis of</w:t>
      </w:r>
      <w:r w:rsidR="000C1376" w:rsidRPr="00A64197">
        <w:t xml:space="preserve"> the</w:t>
      </w:r>
      <w:r w:rsidRPr="00A64197">
        <w:t xml:space="preserve"> reduction in PUE percent from the FY 2016 actual.  Savings will also be projected from the F</w:t>
      </w:r>
      <w:r w:rsidR="006B0B23">
        <w:t>Y 2016 actual spend and</w:t>
      </w:r>
      <w:r w:rsidRPr="00A64197">
        <w:t xml:space="preserve"> will continue to be measured and reported as reductions in year to year spend from projected levels.</w:t>
      </w:r>
    </w:p>
    <w:p w:rsidR="001E3B8E" w:rsidRPr="00E04ABD" w:rsidRDefault="00EE0737" w:rsidP="00E912B6">
      <w:pPr>
        <w:pStyle w:val="Heading3"/>
      </w:pPr>
      <w:bookmarkStart w:id="34" w:name="_Toc475636848"/>
      <w:r w:rsidRPr="00E04ABD">
        <w:t>Virtualization</w:t>
      </w:r>
      <w:bookmarkEnd w:id="34"/>
    </w:p>
    <w:p w:rsidR="00EE0737" w:rsidRPr="00A64197" w:rsidRDefault="00EE0737" w:rsidP="004171EF">
      <w:pPr>
        <w:spacing w:before="120"/>
      </w:pPr>
      <w:r w:rsidRPr="00A64197">
        <w:rPr>
          <w:b/>
        </w:rPr>
        <w:t>Virtualization Scope and Definitions</w:t>
      </w:r>
      <w:r w:rsidRPr="00A64197">
        <w:t>:</w:t>
      </w:r>
      <w:r w:rsidR="00C34172" w:rsidRPr="00A64197">
        <w:t xml:space="preserve">  </w:t>
      </w:r>
      <w:r w:rsidR="00DF744F">
        <w:t xml:space="preserve">DCOI reporting for this metric is required for DHS data centers that are both tiered and agency (i.e., Component) owned. </w:t>
      </w:r>
      <w:r w:rsidR="00AE5B34" w:rsidRPr="00A64197">
        <w:t>Virtualization broadly</w:t>
      </w:r>
      <w:r w:rsidR="00CE25A2" w:rsidRPr="00A64197">
        <w:t xml:space="preserve"> </w:t>
      </w:r>
      <w:r w:rsidR="00CC344C" w:rsidRPr="00A64197">
        <w:t>refers to the c</w:t>
      </w:r>
      <w:r w:rsidR="00CE25A2" w:rsidRPr="00A64197">
        <w:t>reation of virtual resources to manage workloads and can be applied to a wide range of system layers, including servers, hardware, and operating systems (OS).  However, in</w:t>
      </w:r>
      <w:r w:rsidR="00342377" w:rsidRPr="00A64197">
        <w:t xml:space="preserve"> M-16</w:t>
      </w:r>
      <w:r w:rsidR="00CE25A2" w:rsidRPr="00A64197">
        <w:t>-19, OMB has targeted the ratio of operating systems to physical servers</w:t>
      </w:r>
      <w:r w:rsidR="00AE5B34" w:rsidRPr="00A64197">
        <w:t xml:space="preserve"> as the</w:t>
      </w:r>
      <w:r w:rsidR="00CE25A2" w:rsidRPr="00A64197">
        <w:t xml:space="preserve"> measure that will provide insight into government wide data center efficiency.</w:t>
      </w:r>
      <w:r w:rsidR="00AE5B34" w:rsidRPr="00A64197">
        <w:rPr>
          <w:rStyle w:val="FootnoteReference"/>
        </w:rPr>
        <w:footnoteReference w:id="56"/>
      </w:r>
      <w:r w:rsidR="00CE25A2" w:rsidRPr="00A64197">
        <w:t xml:space="preserve">  In </w:t>
      </w:r>
      <w:r w:rsidR="00545192" w:rsidRPr="00A64197">
        <w:t xml:space="preserve">addition, M-16-19 established the value of greater than or equal to 4.0 as the virtualization objective and </w:t>
      </w:r>
      <w:r w:rsidR="00AE5B34" w:rsidRPr="00A64197">
        <w:t xml:space="preserve">September 30, </w:t>
      </w:r>
      <w:r w:rsidR="00545192" w:rsidRPr="00A64197">
        <w:t>2018 as the target date for achievement of this objective.</w:t>
      </w:r>
      <w:r w:rsidR="00342377" w:rsidRPr="00A64197">
        <w:t xml:space="preserve"> </w:t>
      </w:r>
    </w:p>
    <w:p w:rsidR="00EE0737" w:rsidRDefault="00EE0737" w:rsidP="004171EF">
      <w:pPr>
        <w:spacing w:before="120"/>
      </w:pPr>
      <w:r w:rsidRPr="00A64197">
        <w:rPr>
          <w:b/>
        </w:rPr>
        <w:t>Virtualization Status and Plan</w:t>
      </w:r>
      <w:r w:rsidRPr="00A64197">
        <w:t>:</w:t>
      </w:r>
      <w:r w:rsidR="00545192" w:rsidRPr="00A64197">
        <w:t xml:space="preserve">  </w:t>
      </w:r>
      <w:r w:rsidR="003F614B" w:rsidRPr="00A64197">
        <w:t xml:space="preserve">Because M-16-19 is targeting the most common form of virtualization, operating system (OS) virtualization, DHS assumes that Components can continue to improve this performance metric while also managing their plans to maintain or transition data centers.  </w:t>
      </w:r>
      <w:r w:rsidR="006B0B23">
        <w:t>The DHS CIO will dialogue with Components to determine their virtualization plans for each of the 7 DHS tiered, agency-owned facilities.  As these facilities are already small, there are no assumptions as of the date of t</w:t>
      </w:r>
      <w:r w:rsidR="00B66DE0">
        <w:t>his report</w:t>
      </w:r>
      <w:r w:rsidR="006F1188">
        <w:t xml:space="preserve"> as to the improvements that will result</w:t>
      </w:r>
      <w:r w:rsidR="001F6FF7" w:rsidRPr="00A64197">
        <w:t>.</w:t>
      </w:r>
    </w:p>
    <w:p w:rsidR="00C545FC" w:rsidRPr="00A64197" w:rsidRDefault="00C545FC" w:rsidP="00C545FC">
      <w:pPr>
        <w:pStyle w:val="Caption"/>
        <w:jc w:val="center"/>
      </w:pPr>
      <w:bookmarkStart w:id="35" w:name="_Toc475635608"/>
      <w:proofErr w:type="gramStart"/>
      <w:r>
        <w:lastRenderedPageBreak/>
        <w:t xml:space="preserve">Figure </w:t>
      </w:r>
      <w:fldSimple w:instr=" SEQ Figure \* ARABIC ">
        <w:r w:rsidR="00C63078">
          <w:rPr>
            <w:noProof/>
          </w:rPr>
          <w:t>8</w:t>
        </w:r>
      </w:fldSimple>
      <w:r>
        <w:t>.</w:t>
      </w:r>
      <w:proofErr w:type="gramEnd"/>
      <w:r>
        <w:t xml:space="preserve"> Com</w:t>
      </w:r>
      <w:r w:rsidR="00C63078">
        <w:t>ponent Reported</w:t>
      </w:r>
      <w:r>
        <w:t xml:space="preserve"> Virtualization</w:t>
      </w:r>
      <w:r w:rsidR="00C63078">
        <w:t xml:space="preserve"> Performance</w:t>
      </w:r>
      <w:bookmarkEnd w:id="35"/>
    </w:p>
    <w:tbl>
      <w:tblPr>
        <w:tblStyle w:val="TableGrid"/>
        <w:tblW w:w="0" w:type="auto"/>
        <w:tblInd w:w="108" w:type="dxa"/>
        <w:tblLook w:val="04A0" w:firstRow="1" w:lastRow="0" w:firstColumn="1" w:lastColumn="0" w:noHBand="0" w:noVBand="1"/>
      </w:tblPr>
      <w:tblGrid>
        <w:gridCol w:w="2520"/>
        <w:gridCol w:w="1440"/>
        <w:gridCol w:w="1440"/>
        <w:gridCol w:w="1327"/>
        <w:gridCol w:w="1440"/>
        <w:gridCol w:w="1395"/>
      </w:tblGrid>
      <w:tr w:rsidR="007333BC" w:rsidRPr="00A64197" w:rsidTr="005D7142">
        <w:trPr>
          <w:tblHeader/>
        </w:trPr>
        <w:tc>
          <w:tcPr>
            <w:tcW w:w="2520" w:type="dxa"/>
            <w:vAlign w:val="center"/>
          </w:tcPr>
          <w:p w:rsidR="007333BC" w:rsidRPr="00A64197" w:rsidRDefault="007333BC" w:rsidP="00E912B6">
            <w:pPr>
              <w:spacing w:before="120"/>
              <w:jc w:val="center"/>
              <w:rPr>
                <w:b/>
                <w:sz w:val="22"/>
                <w:szCs w:val="22"/>
              </w:rPr>
            </w:pPr>
            <w:r w:rsidRPr="00A64197">
              <w:rPr>
                <w:b/>
                <w:sz w:val="22"/>
                <w:szCs w:val="22"/>
              </w:rPr>
              <w:t>Metric</w:t>
            </w:r>
          </w:p>
        </w:tc>
        <w:tc>
          <w:tcPr>
            <w:tcW w:w="1440" w:type="dxa"/>
            <w:vAlign w:val="center"/>
          </w:tcPr>
          <w:p w:rsidR="007333BC" w:rsidRPr="00A64197" w:rsidRDefault="007333BC" w:rsidP="00E912B6">
            <w:pPr>
              <w:spacing w:before="120"/>
              <w:jc w:val="center"/>
              <w:rPr>
                <w:b/>
                <w:sz w:val="22"/>
                <w:szCs w:val="22"/>
              </w:rPr>
            </w:pPr>
            <w:r w:rsidRPr="00A64197">
              <w:rPr>
                <w:b/>
                <w:sz w:val="22"/>
                <w:szCs w:val="22"/>
              </w:rPr>
              <w:t>FY16 Achieved</w:t>
            </w:r>
          </w:p>
        </w:tc>
        <w:tc>
          <w:tcPr>
            <w:tcW w:w="1440" w:type="dxa"/>
            <w:vAlign w:val="center"/>
          </w:tcPr>
          <w:p w:rsidR="007333BC" w:rsidRPr="00A64197" w:rsidRDefault="007333BC" w:rsidP="00E912B6">
            <w:pPr>
              <w:spacing w:before="120"/>
              <w:jc w:val="center"/>
              <w:rPr>
                <w:b/>
                <w:sz w:val="22"/>
                <w:szCs w:val="22"/>
              </w:rPr>
            </w:pPr>
            <w:r w:rsidRPr="00A64197">
              <w:rPr>
                <w:b/>
                <w:sz w:val="22"/>
                <w:szCs w:val="22"/>
              </w:rPr>
              <w:t>FY17 Planned</w:t>
            </w:r>
          </w:p>
        </w:tc>
        <w:tc>
          <w:tcPr>
            <w:tcW w:w="1327" w:type="dxa"/>
            <w:vAlign w:val="center"/>
          </w:tcPr>
          <w:p w:rsidR="007333BC" w:rsidRPr="00A64197" w:rsidRDefault="007333BC" w:rsidP="00E912B6">
            <w:pPr>
              <w:spacing w:before="120"/>
              <w:jc w:val="center"/>
              <w:rPr>
                <w:b/>
                <w:sz w:val="22"/>
                <w:szCs w:val="22"/>
              </w:rPr>
            </w:pPr>
            <w:r w:rsidRPr="00A64197">
              <w:rPr>
                <w:b/>
                <w:sz w:val="22"/>
                <w:szCs w:val="22"/>
              </w:rPr>
              <w:t>FY18 Planned</w:t>
            </w:r>
          </w:p>
        </w:tc>
        <w:tc>
          <w:tcPr>
            <w:tcW w:w="1440" w:type="dxa"/>
            <w:vAlign w:val="center"/>
          </w:tcPr>
          <w:p w:rsidR="007333BC" w:rsidRPr="00A64197" w:rsidRDefault="007333BC" w:rsidP="00E912B6">
            <w:pPr>
              <w:spacing w:before="120"/>
              <w:jc w:val="center"/>
              <w:rPr>
                <w:b/>
                <w:sz w:val="22"/>
                <w:szCs w:val="22"/>
              </w:rPr>
            </w:pPr>
            <w:r w:rsidRPr="00A64197">
              <w:rPr>
                <w:b/>
                <w:sz w:val="22"/>
                <w:szCs w:val="22"/>
              </w:rPr>
              <w:t>FY19 Planned</w:t>
            </w:r>
          </w:p>
        </w:tc>
        <w:tc>
          <w:tcPr>
            <w:tcW w:w="1395" w:type="dxa"/>
            <w:vAlign w:val="center"/>
          </w:tcPr>
          <w:p w:rsidR="007333BC" w:rsidRPr="00A64197" w:rsidRDefault="007333BC" w:rsidP="00E912B6">
            <w:pPr>
              <w:spacing w:before="120"/>
              <w:jc w:val="center"/>
              <w:rPr>
                <w:b/>
                <w:sz w:val="22"/>
                <w:szCs w:val="22"/>
              </w:rPr>
            </w:pPr>
            <w:r w:rsidRPr="00A64197">
              <w:rPr>
                <w:b/>
                <w:sz w:val="22"/>
                <w:szCs w:val="22"/>
              </w:rPr>
              <w:t>FY20 Planned</w:t>
            </w:r>
          </w:p>
        </w:tc>
      </w:tr>
      <w:tr w:rsidR="007333BC" w:rsidRPr="00A64197" w:rsidTr="007333BC">
        <w:trPr>
          <w:trHeight w:val="519"/>
        </w:trPr>
        <w:tc>
          <w:tcPr>
            <w:tcW w:w="2520" w:type="dxa"/>
            <w:vAlign w:val="center"/>
          </w:tcPr>
          <w:p w:rsidR="007333BC" w:rsidRPr="00A64197" w:rsidRDefault="007333BC" w:rsidP="00E912B6">
            <w:pPr>
              <w:spacing w:before="120"/>
              <w:jc w:val="center"/>
            </w:pPr>
            <w:r w:rsidRPr="00A64197">
              <w:t>Virtualization</w:t>
            </w:r>
          </w:p>
        </w:tc>
        <w:tc>
          <w:tcPr>
            <w:tcW w:w="1440" w:type="dxa"/>
            <w:vAlign w:val="center"/>
          </w:tcPr>
          <w:p w:rsidR="007333BC" w:rsidRPr="00A64197" w:rsidRDefault="006B0B23" w:rsidP="00E912B6">
            <w:pPr>
              <w:spacing w:before="120"/>
              <w:jc w:val="center"/>
            </w:pPr>
            <w:r>
              <w:t>2.0</w:t>
            </w:r>
          </w:p>
        </w:tc>
        <w:tc>
          <w:tcPr>
            <w:tcW w:w="1440" w:type="dxa"/>
            <w:vAlign w:val="center"/>
          </w:tcPr>
          <w:p w:rsidR="007333BC" w:rsidRPr="00A64197" w:rsidRDefault="006B0B23" w:rsidP="00E912B6">
            <w:pPr>
              <w:spacing w:before="120"/>
              <w:jc w:val="center"/>
            </w:pPr>
            <w:r>
              <w:t>2.</w:t>
            </w:r>
            <w:r w:rsidR="00DA7DAC">
              <w:t>3</w:t>
            </w:r>
          </w:p>
        </w:tc>
        <w:tc>
          <w:tcPr>
            <w:tcW w:w="1327" w:type="dxa"/>
            <w:vAlign w:val="center"/>
          </w:tcPr>
          <w:p w:rsidR="007333BC" w:rsidRPr="00A64197" w:rsidRDefault="006B0B23" w:rsidP="00E912B6">
            <w:pPr>
              <w:spacing w:before="120"/>
              <w:jc w:val="center"/>
            </w:pPr>
            <w:r>
              <w:t>2.5</w:t>
            </w:r>
          </w:p>
        </w:tc>
        <w:tc>
          <w:tcPr>
            <w:tcW w:w="1440" w:type="dxa"/>
            <w:vAlign w:val="center"/>
          </w:tcPr>
          <w:p w:rsidR="007333BC" w:rsidRPr="00A64197" w:rsidRDefault="00D613F6" w:rsidP="00E912B6">
            <w:pPr>
              <w:spacing w:before="120"/>
              <w:jc w:val="center"/>
            </w:pPr>
            <w:r>
              <w:t>TBD</w:t>
            </w:r>
          </w:p>
        </w:tc>
        <w:tc>
          <w:tcPr>
            <w:tcW w:w="1395" w:type="dxa"/>
            <w:vAlign w:val="center"/>
          </w:tcPr>
          <w:p w:rsidR="007333BC" w:rsidRPr="00A64197" w:rsidRDefault="00D613F6" w:rsidP="00E912B6">
            <w:pPr>
              <w:spacing w:before="120"/>
              <w:jc w:val="center"/>
            </w:pPr>
            <w:r>
              <w:t>TBD</w:t>
            </w:r>
          </w:p>
        </w:tc>
      </w:tr>
      <w:tr w:rsidR="001A7CE7" w:rsidRPr="00A64197" w:rsidTr="007333BC">
        <w:trPr>
          <w:trHeight w:val="519"/>
        </w:trPr>
        <w:tc>
          <w:tcPr>
            <w:tcW w:w="2520" w:type="dxa"/>
            <w:vAlign w:val="center"/>
          </w:tcPr>
          <w:p w:rsidR="001A7CE7" w:rsidRPr="00A64197" w:rsidRDefault="00992EE8" w:rsidP="00E912B6">
            <w:pPr>
              <w:spacing w:before="120"/>
              <w:jc w:val="center"/>
            </w:pPr>
            <w:r w:rsidRPr="00A64197">
              <w:t>Cost Avoidance</w:t>
            </w:r>
          </w:p>
        </w:tc>
        <w:tc>
          <w:tcPr>
            <w:tcW w:w="1440" w:type="dxa"/>
            <w:vAlign w:val="center"/>
          </w:tcPr>
          <w:p w:rsidR="001A7CE7" w:rsidRPr="00A64197" w:rsidRDefault="00D613F6" w:rsidP="00E912B6">
            <w:pPr>
              <w:spacing w:before="120"/>
              <w:jc w:val="center"/>
            </w:pPr>
            <w:r>
              <w:t>$0</w:t>
            </w:r>
          </w:p>
        </w:tc>
        <w:tc>
          <w:tcPr>
            <w:tcW w:w="1440" w:type="dxa"/>
            <w:vAlign w:val="center"/>
          </w:tcPr>
          <w:p w:rsidR="001A7CE7" w:rsidRPr="00A64197" w:rsidRDefault="006B0B23" w:rsidP="00E912B6">
            <w:pPr>
              <w:spacing w:before="120"/>
              <w:jc w:val="center"/>
            </w:pPr>
            <w:r>
              <w:t>TBD</w:t>
            </w:r>
          </w:p>
        </w:tc>
        <w:tc>
          <w:tcPr>
            <w:tcW w:w="1327" w:type="dxa"/>
            <w:vAlign w:val="center"/>
          </w:tcPr>
          <w:p w:rsidR="001A7CE7" w:rsidRPr="00A64197" w:rsidRDefault="006B0B23" w:rsidP="00E912B6">
            <w:pPr>
              <w:spacing w:before="120"/>
              <w:jc w:val="center"/>
            </w:pPr>
            <w:r>
              <w:t>TBD</w:t>
            </w:r>
          </w:p>
        </w:tc>
        <w:tc>
          <w:tcPr>
            <w:tcW w:w="1440" w:type="dxa"/>
            <w:vAlign w:val="center"/>
          </w:tcPr>
          <w:p w:rsidR="001A7CE7" w:rsidRPr="00A64197" w:rsidRDefault="006B0B23" w:rsidP="00E912B6">
            <w:pPr>
              <w:spacing w:before="120"/>
              <w:jc w:val="center"/>
            </w:pPr>
            <w:r>
              <w:t>TBD</w:t>
            </w:r>
          </w:p>
        </w:tc>
        <w:tc>
          <w:tcPr>
            <w:tcW w:w="1395" w:type="dxa"/>
            <w:vAlign w:val="center"/>
          </w:tcPr>
          <w:p w:rsidR="001A7CE7" w:rsidRPr="00A64197" w:rsidRDefault="006B0B23" w:rsidP="00E912B6">
            <w:pPr>
              <w:spacing w:before="120"/>
              <w:jc w:val="center"/>
            </w:pPr>
            <w:r>
              <w:t>TBD</w:t>
            </w:r>
          </w:p>
        </w:tc>
      </w:tr>
      <w:tr w:rsidR="00551739" w:rsidRPr="00A64197" w:rsidTr="007333BC">
        <w:trPr>
          <w:trHeight w:val="519"/>
        </w:trPr>
        <w:tc>
          <w:tcPr>
            <w:tcW w:w="2520" w:type="dxa"/>
            <w:vAlign w:val="center"/>
          </w:tcPr>
          <w:p w:rsidR="00551739" w:rsidRPr="00A64197" w:rsidRDefault="00A64197" w:rsidP="00E912B6">
            <w:pPr>
              <w:spacing w:before="120"/>
              <w:jc w:val="center"/>
            </w:pPr>
            <w:r>
              <w:t xml:space="preserve">Operations </w:t>
            </w:r>
            <w:r w:rsidR="00551739" w:rsidRPr="00A64197">
              <w:t>Savings</w:t>
            </w:r>
          </w:p>
        </w:tc>
        <w:tc>
          <w:tcPr>
            <w:tcW w:w="1440" w:type="dxa"/>
            <w:vAlign w:val="center"/>
          </w:tcPr>
          <w:p w:rsidR="00551739" w:rsidRPr="00A64197" w:rsidRDefault="00D613F6" w:rsidP="00E912B6">
            <w:pPr>
              <w:spacing w:before="120"/>
              <w:jc w:val="center"/>
            </w:pPr>
            <w:r>
              <w:t>$0</w:t>
            </w:r>
          </w:p>
        </w:tc>
        <w:tc>
          <w:tcPr>
            <w:tcW w:w="1440" w:type="dxa"/>
            <w:vAlign w:val="center"/>
          </w:tcPr>
          <w:p w:rsidR="00551739" w:rsidRPr="00A64197" w:rsidRDefault="006B0B23" w:rsidP="00E912B6">
            <w:pPr>
              <w:spacing w:before="120"/>
              <w:jc w:val="center"/>
            </w:pPr>
            <w:r>
              <w:t>TBD</w:t>
            </w:r>
          </w:p>
        </w:tc>
        <w:tc>
          <w:tcPr>
            <w:tcW w:w="1327" w:type="dxa"/>
            <w:vAlign w:val="center"/>
          </w:tcPr>
          <w:p w:rsidR="00551739" w:rsidRPr="00A64197" w:rsidRDefault="006B0B23" w:rsidP="00E912B6">
            <w:pPr>
              <w:spacing w:before="120"/>
              <w:jc w:val="center"/>
            </w:pPr>
            <w:r>
              <w:t>TBD</w:t>
            </w:r>
          </w:p>
        </w:tc>
        <w:tc>
          <w:tcPr>
            <w:tcW w:w="1440" w:type="dxa"/>
            <w:vAlign w:val="center"/>
          </w:tcPr>
          <w:p w:rsidR="00551739" w:rsidRPr="00A64197" w:rsidRDefault="006B0B23" w:rsidP="00E912B6">
            <w:pPr>
              <w:spacing w:before="120"/>
              <w:jc w:val="center"/>
            </w:pPr>
            <w:r>
              <w:t>TBD</w:t>
            </w:r>
          </w:p>
        </w:tc>
        <w:tc>
          <w:tcPr>
            <w:tcW w:w="1395" w:type="dxa"/>
            <w:vAlign w:val="center"/>
          </w:tcPr>
          <w:p w:rsidR="00551739" w:rsidRPr="00A64197" w:rsidRDefault="006B0B23" w:rsidP="00E912B6">
            <w:pPr>
              <w:spacing w:before="120"/>
              <w:jc w:val="center"/>
            </w:pPr>
            <w:r>
              <w:t>TBD</w:t>
            </w:r>
          </w:p>
        </w:tc>
      </w:tr>
    </w:tbl>
    <w:p w:rsidR="00DA7DAC" w:rsidRPr="00A64197" w:rsidRDefault="00CD6642" w:rsidP="00DA7DAC">
      <w:pPr>
        <w:spacing w:before="120"/>
      </w:pPr>
      <w:r w:rsidRPr="00A64197">
        <w:rPr>
          <w:u w:val="single"/>
        </w:rPr>
        <w:t>Virtualization Projected Savings and Avoidance</w:t>
      </w:r>
      <w:r w:rsidRPr="00A64197">
        <w:t xml:space="preserve">:  </w:t>
      </w:r>
      <w:r w:rsidR="00DA7DAC">
        <w:t xml:space="preserve">Once Components for these 7 facilities report virtualization, </w:t>
      </w:r>
      <w:r w:rsidR="00DA7DAC" w:rsidRPr="00A64197">
        <w:t>DHS will project cost avoidance for this measure on the basis of the reduction in PUE percent from the FY 2016 actual.  Savings will also be projected from the F</w:t>
      </w:r>
      <w:r w:rsidR="00DA7DAC">
        <w:t>Y 2016 actual spend and</w:t>
      </w:r>
      <w:r w:rsidR="00DA7DAC" w:rsidRPr="00A64197">
        <w:t xml:space="preserve"> will continue to be measured and reported as reductions in year to year spend from projected levels.</w:t>
      </w:r>
    </w:p>
    <w:p w:rsidR="00EE0737" w:rsidRPr="00E04ABD" w:rsidRDefault="00EE0737" w:rsidP="00E912B6">
      <w:pPr>
        <w:pStyle w:val="Heading3"/>
      </w:pPr>
      <w:bookmarkStart w:id="36" w:name="_Toc475636849"/>
      <w:r w:rsidRPr="00E04ABD">
        <w:t>Server Utilization</w:t>
      </w:r>
      <w:bookmarkEnd w:id="36"/>
    </w:p>
    <w:p w:rsidR="00EE0737" w:rsidRPr="00A64197" w:rsidRDefault="00EE0737" w:rsidP="00E912B6">
      <w:pPr>
        <w:spacing w:before="120"/>
      </w:pPr>
      <w:r w:rsidRPr="00A64197">
        <w:rPr>
          <w:b/>
        </w:rPr>
        <w:t>Server Utilization Scope and Definitions</w:t>
      </w:r>
      <w:r w:rsidRPr="00A64197">
        <w:t>:</w:t>
      </w:r>
      <w:r w:rsidR="00093F9D" w:rsidRPr="00A64197">
        <w:t xml:space="preserve"> </w:t>
      </w:r>
      <w:r w:rsidR="00DF744F">
        <w:t xml:space="preserve">DCOI reporting for this metric is required for DHS data centers that are and non-tiered. </w:t>
      </w:r>
      <w:r w:rsidR="00093F9D" w:rsidRPr="00A64197">
        <w:t>Server u</w:t>
      </w:r>
      <w:r w:rsidR="003F5705" w:rsidRPr="00A64197">
        <w:t xml:space="preserve">tilization in general refers to the percent of usage of computer processing resources, which varies depending on the amount and type of processing tasks and the amount of server time needed.  In M-16-19, OMB has targeted </w:t>
      </w:r>
      <w:r w:rsidR="00DA5B30" w:rsidRPr="00A64197">
        <w:t xml:space="preserve">greater than or equal to 65% </w:t>
      </w:r>
      <w:r w:rsidR="00093F9D" w:rsidRPr="00A64197">
        <w:t xml:space="preserve">server </w:t>
      </w:r>
      <w:r w:rsidR="00DA5B30" w:rsidRPr="00A64197">
        <w:t xml:space="preserve">utilization by September 30, 2018 and calculates </w:t>
      </w:r>
      <w:r w:rsidR="00093F9D" w:rsidRPr="00A64197">
        <w:t>this metric</w:t>
      </w:r>
      <w:r w:rsidR="003F5705" w:rsidRPr="00A64197">
        <w:t xml:space="preserve"> as the percent of time busy when measured continuously by automated monitoring</w:t>
      </w:r>
      <w:r w:rsidR="00DA5B30" w:rsidRPr="00A64197">
        <w:t xml:space="preserve"> and then discounted by the fraction of data centers fully equipped with automated monitoring.</w:t>
      </w:r>
      <w:r w:rsidR="00DA5B30" w:rsidRPr="00A64197">
        <w:rPr>
          <w:rStyle w:val="FootnoteReference"/>
        </w:rPr>
        <w:footnoteReference w:id="57"/>
      </w:r>
      <w:r w:rsidR="00DA5B30" w:rsidRPr="00A64197">
        <w:t xml:space="preserve">  </w:t>
      </w:r>
    </w:p>
    <w:p w:rsidR="00EE0737" w:rsidRDefault="00EE0737" w:rsidP="00E912B6">
      <w:pPr>
        <w:spacing w:before="120"/>
      </w:pPr>
      <w:r w:rsidRPr="00A64197">
        <w:rPr>
          <w:b/>
        </w:rPr>
        <w:t>Server Utilization Status and Plan</w:t>
      </w:r>
      <w:r w:rsidRPr="00A64197">
        <w:t>:</w:t>
      </w:r>
      <w:r w:rsidR="00D83A2F" w:rsidRPr="00A64197">
        <w:t xml:space="preserve">  </w:t>
      </w:r>
      <w:r w:rsidR="008010FC" w:rsidRPr="00A64197">
        <w:t xml:space="preserve">Based on </w:t>
      </w:r>
      <w:r w:rsidR="006F1188">
        <w:t xml:space="preserve">the current </w:t>
      </w:r>
      <w:r w:rsidR="008010FC" w:rsidRPr="00A64197">
        <w:t xml:space="preserve">virtualization metric </w:t>
      </w:r>
      <w:r w:rsidR="00DB45BD" w:rsidRPr="00A64197">
        <w:t>that results in</w:t>
      </w:r>
      <w:r w:rsidR="006F1188">
        <w:t xml:space="preserve"> very small increases</w:t>
      </w:r>
      <w:r w:rsidR="008010FC" w:rsidRPr="00A64197">
        <w:t xml:space="preserve"> in operating systems per year, we feel that </w:t>
      </w:r>
      <w:r w:rsidR="00FA11E0" w:rsidRPr="00A64197">
        <w:t xml:space="preserve">that </w:t>
      </w:r>
      <w:r w:rsidR="008010FC" w:rsidRPr="00A64197">
        <w:t xml:space="preserve">the </w:t>
      </w:r>
      <w:r w:rsidR="00591662" w:rsidRPr="00A64197">
        <w:t xml:space="preserve">server utilization </w:t>
      </w:r>
      <w:r w:rsidR="00DB45BD" w:rsidRPr="00A64197">
        <w:t xml:space="preserve">is challenging but </w:t>
      </w:r>
      <w:r w:rsidR="006F1188">
        <w:t xml:space="preserve">doable if Components </w:t>
      </w:r>
      <w:r w:rsidR="00DB45BD" w:rsidRPr="00A64197">
        <w:t xml:space="preserve">also </w:t>
      </w:r>
      <w:r w:rsidR="006F1188">
        <w:t>increase their</w:t>
      </w:r>
      <w:r w:rsidR="008010FC" w:rsidRPr="00A64197">
        <w:t xml:space="preserve"> the virtualization target. </w:t>
      </w:r>
      <w:r w:rsidR="006F1188" w:rsidRPr="006F1188">
        <w:t>The DHS CIO will dialogue with Components t</w:t>
      </w:r>
      <w:r w:rsidR="006F1188">
        <w:t>o determine their server utilization</w:t>
      </w:r>
      <w:r w:rsidR="0092608B">
        <w:t xml:space="preserve"> plans for each of the </w:t>
      </w:r>
      <w:r w:rsidR="006F1188" w:rsidRPr="006F1188">
        <w:t>DHS tiered</w:t>
      </w:r>
      <w:r w:rsidR="0092608B">
        <w:t xml:space="preserve"> and non-tiered</w:t>
      </w:r>
      <w:r w:rsidR="006F1188" w:rsidRPr="006F1188">
        <w:t xml:space="preserve"> agency-owned facilities.  As these facilities are already small, there are no assumptions as of the date of this report as to the improvements that will result.</w:t>
      </w:r>
    </w:p>
    <w:p w:rsidR="00C545FC" w:rsidRPr="00A64197" w:rsidRDefault="00C545FC" w:rsidP="00C63078">
      <w:pPr>
        <w:pStyle w:val="Caption"/>
        <w:jc w:val="center"/>
      </w:pPr>
      <w:bookmarkStart w:id="37" w:name="_Toc475635609"/>
      <w:proofErr w:type="gramStart"/>
      <w:r>
        <w:lastRenderedPageBreak/>
        <w:t xml:space="preserve">Figure </w:t>
      </w:r>
      <w:fldSimple w:instr=" SEQ Figure \* ARABIC ">
        <w:r w:rsidR="00C63078">
          <w:rPr>
            <w:noProof/>
          </w:rPr>
          <w:t>9</w:t>
        </w:r>
      </w:fldSimple>
      <w:r>
        <w:t>.</w:t>
      </w:r>
      <w:proofErr w:type="gramEnd"/>
      <w:r>
        <w:t xml:space="preserve"> Component Reported Server Utilization</w:t>
      </w:r>
      <w:r>
        <w:rPr>
          <w:noProof/>
        </w:rPr>
        <w:t xml:space="preserve"> Performance</w:t>
      </w:r>
      <w:bookmarkEnd w:id="37"/>
    </w:p>
    <w:tbl>
      <w:tblPr>
        <w:tblStyle w:val="TableGrid"/>
        <w:tblW w:w="0" w:type="auto"/>
        <w:tblInd w:w="108" w:type="dxa"/>
        <w:tblLook w:val="04A0" w:firstRow="1" w:lastRow="0" w:firstColumn="1" w:lastColumn="0" w:noHBand="0" w:noVBand="1"/>
      </w:tblPr>
      <w:tblGrid>
        <w:gridCol w:w="2520"/>
        <w:gridCol w:w="1440"/>
        <w:gridCol w:w="1440"/>
        <w:gridCol w:w="1327"/>
        <w:gridCol w:w="1440"/>
        <w:gridCol w:w="1395"/>
      </w:tblGrid>
      <w:tr w:rsidR="00890E02" w:rsidRPr="00A64197" w:rsidTr="005D7142">
        <w:trPr>
          <w:tblHeader/>
        </w:trPr>
        <w:tc>
          <w:tcPr>
            <w:tcW w:w="2520" w:type="dxa"/>
            <w:vAlign w:val="center"/>
          </w:tcPr>
          <w:p w:rsidR="00890E02" w:rsidRPr="00A64197" w:rsidRDefault="00890E02" w:rsidP="00E912B6">
            <w:pPr>
              <w:spacing w:before="120"/>
              <w:jc w:val="center"/>
              <w:rPr>
                <w:b/>
                <w:sz w:val="22"/>
                <w:szCs w:val="22"/>
              </w:rPr>
            </w:pPr>
            <w:r w:rsidRPr="00A64197">
              <w:rPr>
                <w:b/>
                <w:sz w:val="22"/>
                <w:szCs w:val="22"/>
              </w:rPr>
              <w:t>Metric</w:t>
            </w:r>
          </w:p>
        </w:tc>
        <w:tc>
          <w:tcPr>
            <w:tcW w:w="1440" w:type="dxa"/>
            <w:vAlign w:val="center"/>
          </w:tcPr>
          <w:p w:rsidR="00890E02" w:rsidRPr="00A64197" w:rsidRDefault="00890E02" w:rsidP="00E912B6">
            <w:pPr>
              <w:spacing w:before="120"/>
              <w:jc w:val="center"/>
              <w:rPr>
                <w:b/>
                <w:sz w:val="22"/>
                <w:szCs w:val="22"/>
              </w:rPr>
            </w:pPr>
            <w:r w:rsidRPr="00A64197">
              <w:rPr>
                <w:b/>
                <w:sz w:val="22"/>
                <w:szCs w:val="22"/>
              </w:rPr>
              <w:t>FY16 Achieved</w:t>
            </w:r>
          </w:p>
        </w:tc>
        <w:tc>
          <w:tcPr>
            <w:tcW w:w="1440" w:type="dxa"/>
            <w:vAlign w:val="center"/>
          </w:tcPr>
          <w:p w:rsidR="00890E02" w:rsidRPr="00A64197" w:rsidRDefault="00890E02" w:rsidP="00E912B6">
            <w:pPr>
              <w:spacing w:before="120"/>
              <w:jc w:val="center"/>
              <w:rPr>
                <w:b/>
                <w:sz w:val="22"/>
                <w:szCs w:val="22"/>
              </w:rPr>
            </w:pPr>
            <w:r w:rsidRPr="00A64197">
              <w:rPr>
                <w:b/>
                <w:sz w:val="22"/>
                <w:szCs w:val="22"/>
              </w:rPr>
              <w:t>FY17 Planned</w:t>
            </w:r>
          </w:p>
        </w:tc>
        <w:tc>
          <w:tcPr>
            <w:tcW w:w="1327" w:type="dxa"/>
            <w:vAlign w:val="center"/>
          </w:tcPr>
          <w:p w:rsidR="00890E02" w:rsidRPr="00A64197" w:rsidRDefault="00890E02" w:rsidP="00E912B6">
            <w:pPr>
              <w:spacing w:before="120"/>
              <w:jc w:val="center"/>
              <w:rPr>
                <w:b/>
                <w:sz w:val="22"/>
                <w:szCs w:val="22"/>
              </w:rPr>
            </w:pPr>
            <w:r w:rsidRPr="00A64197">
              <w:rPr>
                <w:b/>
                <w:sz w:val="22"/>
                <w:szCs w:val="22"/>
              </w:rPr>
              <w:t>FY18 Planned</w:t>
            </w:r>
          </w:p>
        </w:tc>
        <w:tc>
          <w:tcPr>
            <w:tcW w:w="1440" w:type="dxa"/>
            <w:vAlign w:val="center"/>
          </w:tcPr>
          <w:p w:rsidR="00890E02" w:rsidRPr="00A64197" w:rsidRDefault="00890E02" w:rsidP="00E912B6">
            <w:pPr>
              <w:spacing w:before="120"/>
              <w:jc w:val="center"/>
              <w:rPr>
                <w:b/>
                <w:sz w:val="22"/>
                <w:szCs w:val="22"/>
              </w:rPr>
            </w:pPr>
            <w:r w:rsidRPr="00A64197">
              <w:rPr>
                <w:b/>
                <w:sz w:val="22"/>
                <w:szCs w:val="22"/>
              </w:rPr>
              <w:t>FY19 Planned</w:t>
            </w:r>
          </w:p>
        </w:tc>
        <w:tc>
          <w:tcPr>
            <w:tcW w:w="1395" w:type="dxa"/>
            <w:vAlign w:val="center"/>
          </w:tcPr>
          <w:p w:rsidR="00890E02" w:rsidRPr="00A64197" w:rsidRDefault="00890E02" w:rsidP="00E912B6">
            <w:pPr>
              <w:spacing w:before="120"/>
              <w:jc w:val="center"/>
              <w:rPr>
                <w:b/>
                <w:sz w:val="22"/>
                <w:szCs w:val="22"/>
              </w:rPr>
            </w:pPr>
            <w:r w:rsidRPr="00A64197">
              <w:rPr>
                <w:b/>
                <w:sz w:val="22"/>
                <w:szCs w:val="22"/>
              </w:rPr>
              <w:t>FY20 Planned</w:t>
            </w:r>
          </w:p>
        </w:tc>
      </w:tr>
      <w:tr w:rsidR="006F1188" w:rsidRPr="00A64197" w:rsidTr="00890E02">
        <w:trPr>
          <w:trHeight w:val="519"/>
        </w:trPr>
        <w:tc>
          <w:tcPr>
            <w:tcW w:w="2520" w:type="dxa"/>
            <w:vAlign w:val="center"/>
          </w:tcPr>
          <w:p w:rsidR="006F1188" w:rsidRPr="00A64197" w:rsidRDefault="0092608B" w:rsidP="006F1188">
            <w:pPr>
              <w:spacing w:after="0"/>
              <w:jc w:val="center"/>
            </w:pPr>
            <w:r>
              <w:t>Server Utilization/</w:t>
            </w:r>
            <w:r w:rsidR="006F1188">
              <w:t>Automated Monitoring (Tiered)</w:t>
            </w:r>
          </w:p>
        </w:tc>
        <w:tc>
          <w:tcPr>
            <w:tcW w:w="1440" w:type="dxa"/>
            <w:vAlign w:val="center"/>
          </w:tcPr>
          <w:p w:rsidR="006F1188" w:rsidRPr="00A64197" w:rsidRDefault="00722FCE" w:rsidP="006F1188">
            <w:pPr>
              <w:spacing w:after="0"/>
              <w:jc w:val="center"/>
            </w:pPr>
            <w:r>
              <w:t>24.7</w:t>
            </w:r>
            <w:r w:rsidR="006F1188">
              <w:t>%</w:t>
            </w:r>
          </w:p>
        </w:tc>
        <w:tc>
          <w:tcPr>
            <w:tcW w:w="1440" w:type="dxa"/>
            <w:vAlign w:val="center"/>
          </w:tcPr>
          <w:p w:rsidR="006F1188" w:rsidRPr="00A64197" w:rsidRDefault="00722FCE" w:rsidP="006F1188">
            <w:pPr>
              <w:spacing w:after="0"/>
              <w:jc w:val="center"/>
            </w:pPr>
            <w:r>
              <w:t>27.0</w:t>
            </w:r>
            <w:r w:rsidR="006F1188">
              <w:t>%</w:t>
            </w:r>
          </w:p>
        </w:tc>
        <w:tc>
          <w:tcPr>
            <w:tcW w:w="1327" w:type="dxa"/>
            <w:vAlign w:val="center"/>
          </w:tcPr>
          <w:p w:rsidR="006F1188" w:rsidRPr="00A64197" w:rsidRDefault="00D613F6" w:rsidP="006F1188">
            <w:pPr>
              <w:spacing w:after="0"/>
              <w:jc w:val="center"/>
            </w:pPr>
            <w:r>
              <w:t>28</w:t>
            </w:r>
            <w:r w:rsidR="00722FCE">
              <w:t>.1</w:t>
            </w:r>
            <w:r w:rsidR="006F1188">
              <w:t>%</w:t>
            </w:r>
          </w:p>
        </w:tc>
        <w:tc>
          <w:tcPr>
            <w:tcW w:w="1440" w:type="dxa"/>
            <w:vAlign w:val="center"/>
          </w:tcPr>
          <w:p w:rsidR="006F1188" w:rsidRPr="00A64197" w:rsidRDefault="006F1188" w:rsidP="006F1188">
            <w:pPr>
              <w:spacing w:after="0"/>
              <w:jc w:val="center"/>
            </w:pPr>
            <w:r>
              <w:t>TBD</w:t>
            </w:r>
          </w:p>
        </w:tc>
        <w:tc>
          <w:tcPr>
            <w:tcW w:w="1395" w:type="dxa"/>
            <w:vAlign w:val="center"/>
          </w:tcPr>
          <w:p w:rsidR="006F1188" w:rsidRPr="00A64197" w:rsidRDefault="006F1188" w:rsidP="006F1188">
            <w:pPr>
              <w:spacing w:after="0"/>
              <w:jc w:val="center"/>
            </w:pPr>
            <w:r>
              <w:t>TBD</w:t>
            </w:r>
          </w:p>
        </w:tc>
      </w:tr>
      <w:tr w:rsidR="006F1188" w:rsidRPr="00A64197" w:rsidTr="00890E02">
        <w:trPr>
          <w:trHeight w:val="519"/>
        </w:trPr>
        <w:tc>
          <w:tcPr>
            <w:tcW w:w="2520" w:type="dxa"/>
            <w:vAlign w:val="center"/>
          </w:tcPr>
          <w:p w:rsidR="006F1188" w:rsidRDefault="0092608B" w:rsidP="006F1188">
            <w:pPr>
              <w:spacing w:after="0"/>
              <w:jc w:val="center"/>
            </w:pPr>
            <w:r>
              <w:t>Server Utilization/</w:t>
            </w:r>
            <w:r w:rsidR="006F1188">
              <w:t>Automated Monitoring (Non-Tiered)</w:t>
            </w:r>
          </w:p>
        </w:tc>
        <w:tc>
          <w:tcPr>
            <w:tcW w:w="1440" w:type="dxa"/>
            <w:vAlign w:val="center"/>
          </w:tcPr>
          <w:p w:rsidR="006F1188" w:rsidRDefault="007052FC" w:rsidP="006F1188">
            <w:pPr>
              <w:spacing w:after="0"/>
              <w:jc w:val="center"/>
            </w:pPr>
            <w:r>
              <w:t>13</w:t>
            </w:r>
            <w:r w:rsidR="006F1188">
              <w:t>%</w:t>
            </w:r>
          </w:p>
        </w:tc>
        <w:tc>
          <w:tcPr>
            <w:tcW w:w="1440" w:type="dxa"/>
            <w:vAlign w:val="center"/>
          </w:tcPr>
          <w:p w:rsidR="006F1188" w:rsidRDefault="007052FC" w:rsidP="006F1188">
            <w:pPr>
              <w:spacing w:after="0"/>
              <w:jc w:val="center"/>
            </w:pPr>
            <w:r>
              <w:t>13</w:t>
            </w:r>
            <w:r w:rsidR="006F1188">
              <w:t>%</w:t>
            </w:r>
          </w:p>
        </w:tc>
        <w:tc>
          <w:tcPr>
            <w:tcW w:w="1327" w:type="dxa"/>
            <w:vAlign w:val="center"/>
          </w:tcPr>
          <w:p w:rsidR="006F1188" w:rsidRDefault="007052FC" w:rsidP="006F1188">
            <w:pPr>
              <w:spacing w:after="0"/>
              <w:jc w:val="center"/>
            </w:pPr>
            <w:r>
              <w:t>13</w:t>
            </w:r>
            <w:r w:rsidR="006F1188">
              <w:t>%</w:t>
            </w:r>
          </w:p>
        </w:tc>
        <w:tc>
          <w:tcPr>
            <w:tcW w:w="1440" w:type="dxa"/>
            <w:vAlign w:val="center"/>
          </w:tcPr>
          <w:p w:rsidR="006F1188" w:rsidRDefault="006F1188" w:rsidP="006F1188">
            <w:pPr>
              <w:spacing w:after="0"/>
              <w:jc w:val="center"/>
            </w:pPr>
            <w:r>
              <w:t>TBD</w:t>
            </w:r>
          </w:p>
        </w:tc>
        <w:tc>
          <w:tcPr>
            <w:tcW w:w="1395" w:type="dxa"/>
            <w:vAlign w:val="center"/>
          </w:tcPr>
          <w:p w:rsidR="006F1188" w:rsidRDefault="006F1188" w:rsidP="006F1188">
            <w:pPr>
              <w:spacing w:after="0"/>
              <w:jc w:val="center"/>
            </w:pPr>
            <w:r>
              <w:t>TBD</w:t>
            </w:r>
          </w:p>
        </w:tc>
      </w:tr>
      <w:tr w:rsidR="007B7453" w:rsidRPr="00A64197" w:rsidTr="00890E02">
        <w:trPr>
          <w:trHeight w:val="519"/>
        </w:trPr>
        <w:tc>
          <w:tcPr>
            <w:tcW w:w="2520" w:type="dxa"/>
            <w:vAlign w:val="center"/>
          </w:tcPr>
          <w:p w:rsidR="007B7453" w:rsidRPr="00A64197" w:rsidRDefault="007B7453" w:rsidP="00E912B6">
            <w:pPr>
              <w:spacing w:before="120"/>
              <w:jc w:val="center"/>
            </w:pPr>
            <w:r w:rsidRPr="00A64197">
              <w:t>Cost Avoidance</w:t>
            </w:r>
          </w:p>
        </w:tc>
        <w:tc>
          <w:tcPr>
            <w:tcW w:w="1440" w:type="dxa"/>
            <w:vAlign w:val="center"/>
          </w:tcPr>
          <w:p w:rsidR="007B7453" w:rsidRPr="00A64197" w:rsidRDefault="0092608B" w:rsidP="00E912B6">
            <w:pPr>
              <w:spacing w:before="120"/>
              <w:jc w:val="center"/>
            </w:pPr>
            <w:r>
              <w:t>$0</w:t>
            </w:r>
          </w:p>
        </w:tc>
        <w:tc>
          <w:tcPr>
            <w:tcW w:w="1440" w:type="dxa"/>
            <w:vAlign w:val="center"/>
          </w:tcPr>
          <w:p w:rsidR="007B7453" w:rsidRPr="00A64197" w:rsidRDefault="0092608B" w:rsidP="00E912B6">
            <w:pPr>
              <w:spacing w:before="120"/>
              <w:jc w:val="center"/>
            </w:pPr>
            <w:r>
              <w:t>TBD</w:t>
            </w:r>
          </w:p>
        </w:tc>
        <w:tc>
          <w:tcPr>
            <w:tcW w:w="1327" w:type="dxa"/>
            <w:vAlign w:val="center"/>
          </w:tcPr>
          <w:p w:rsidR="007B7453" w:rsidRPr="00A64197" w:rsidRDefault="0092608B" w:rsidP="00E912B6">
            <w:pPr>
              <w:spacing w:before="120"/>
              <w:jc w:val="center"/>
            </w:pPr>
            <w:r>
              <w:t>TBD</w:t>
            </w:r>
          </w:p>
        </w:tc>
        <w:tc>
          <w:tcPr>
            <w:tcW w:w="1440" w:type="dxa"/>
            <w:vAlign w:val="center"/>
          </w:tcPr>
          <w:p w:rsidR="007B7453" w:rsidRPr="00A64197" w:rsidRDefault="0092608B" w:rsidP="00E912B6">
            <w:pPr>
              <w:spacing w:before="120"/>
              <w:jc w:val="center"/>
            </w:pPr>
            <w:r>
              <w:t>TBD</w:t>
            </w:r>
          </w:p>
        </w:tc>
        <w:tc>
          <w:tcPr>
            <w:tcW w:w="1395" w:type="dxa"/>
            <w:vAlign w:val="center"/>
          </w:tcPr>
          <w:p w:rsidR="007B7453" w:rsidRPr="00A64197" w:rsidRDefault="0092608B" w:rsidP="00E912B6">
            <w:pPr>
              <w:spacing w:before="120"/>
              <w:jc w:val="center"/>
            </w:pPr>
            <w:r>
              <w:t>TBD</w:t>
            </w:r>
          </w:p>
        </w:tc>
      </w:tr>
      <w:tr w:rsidR="005D7142" w:rsidRPr="00A64197" w:rsidTr="00890E02">
        <w:trPr>
          <w:trHeight w:val="519"/>
        </w:trPr>
        <w:tc>
          <w:tcPr>
            <w:tcW w:w="2520" w:type="dxa"/>
            <w:vAlign w:val="center"/>
          </w:tcPr>
          <w:p w:rsidR="005D7142" w:rsidRPr="00A64197" w:rsidRDefault="00A64197" w:rsidP="00E912B6">
            <w:pPr>
              <w:spacing w:before="120"/>
              <w:jc w:val="center"/>
            </w:pPr>
            <w:r w:rsidRPr="00A64197">
              <w:t xml:space="preserve">Operations </w:t>
            </w:r>
            <w:r w:rsidR="005D7142" w:rsidRPr="00A64197">
              <w:t>Savings</w:t>
            </w:r>
          </w:p>
        </w:tc>
        <w:tc>
          <w:tcPr>
            <w:tcW w:w="1440" w:type="dxa"/>
            <w:vAlign w:val="center"/>
          </w:tcPr>
          <w:p w:rsidR="005D7142" w:rsidRPr="00A64197" w:rsidRDefault="0092608B" w:rsidP="00E912B6">
            <w:pPr>
              <w:spacing w:before="120"/>
              <w:jc w:val="center"/>
            </w:pPr>
            <w:r>
              <w:t>$0</w:t>
            </w:r>
          </w:p>
        </w:tc>
        <w:tc>
          <w:tcPr>
            <w:tcW w:w="1440" w:type="dxa"/>
            <w:vAlign w:val="center"/>
          </w:tcPr>
          <w:p w:rsidR="005D7142" w:rsidRPr="00A64197" w:rsidRDefault="0092608B" w:rsidP="00E912B6">
            <w:pPr>
              <w:spacing w:before="120"/>
              <w:jc w:val="center"/>
            </w:pPr>
            <w:r>
              <w:t>TBD</w:t>
            </w:r>
          </w:p>
        </w:tc>
        <w:tc>
          <w:tcPr>
            <w:tcW w:w="1327" w:type="dxa"/>
            <w:vAlign w:val="center"/>
          </w:tcPr>
          <w:p w:rsidR="005D7142" w:rsidRPr="00A64197" w:rsidRDefault="0092608B" w:rsidP="00E912B6">
            <w:pPr>
              <w:spacing w:before="120"/>
              <w:jc w:val="center"/>
            </w:pPr>
            <w:r>
              <w:t>TBD</w:t>
            </w:r>
          </w:p>
        </w:tc>
        <w:tc>
          <w:tcPr>
            <w:tcW w:w="1440" w:type="dxa"/>
            <w:vAlign w:val="center"/>
          </w:tcPr>
          <w:p w:rsidR="005D7142" w:rsidRPr="00A64197" w:rsidRDefault="0092608B" w:rsidP="00E912B6">
            <w:pPr>
              <w:spacing w:before="120"/>
              <w:jc w:val="center"/>
            </w:pPr>
            <w:r>
              <w:t>TBD</w:t>
            </w:r>
          </w:p>
        </w:tc>
        <w:tc>
          <w:tcPr>
            <w:tcW w:w="1395" w:type="dxa"/>
            <w:vAlign w:val="center"/>
          </w:tcPr>
          <w:p w:rsidR="005D7142" w:rsidRPr="00A64197" w:rsidRDefault="0092608B" w:rsidP="00E912B6">
            <w:pPr>
              <w:spacing w:before="120"/>
              <w:jc w:val="center"/>
            </w:pPr>
            <w:r>
              <w:t>TBD</w:t>
            </w:r>
          </w:p>
        </w:tc>
      </w:tr>
    </w:tbl>
    <w:p w:rsidR="00FD3CFF" w:rsidRPr="00A64197" w:rsidRDefault="00FD3CFF" w:rsidP="0092608B">
      <w:pPr>
        <w:spacing w:before="120"/>
      </w:pPr>
      <w:r w:rsidRPr="00A64197">
        <w:rPr>
          <w:u w:val="single"/>
        </w:rPr>
        <w:t>Server Utilization Projected Savings and Avoidance</w:t>
      </w:r>
      <w:r w:rsidRPr="00A64197">
        <w:t xml:space="preserve">:  </w:t>
      </w:r>
      <w:r w:rsidR="0092608B">
        <w:t xml:space="preserve">Once Components for these facilities report server utilization plans, </w:t>
      </w:r>
      <w:r w:rsidR="0092608B" w:rsidRPr="00A64197">
        <w:t>DHS will project cost avoidance for this measure on t</w:t>
      </w:r>
      <w:r w:rsidR="0092608B">
        <w:t>he basis of the reduction in cost</w:t>
      </w:r>
      <w:r w:rsidR="0092608B" w:rsidRPr="00A64197">
        <w:t xml:space="preserve"> from the FY 2016 actual.  Savings will also be projected from the F</w:t>
      </w:r>
      <w:r w:rsidR="0092608B">
        <w:t>Y 2016 actual spend and</w:t>
      </w:r>
      <w:r w:rsidR="0092608B" w:rsidRPr="00A64197">
        <w:t xml:space="preserve"> will continue to be measured and reported as reductions in year to year spend from projected levels</w:t>
      </w:r>
      <w:r w:rsidR="00F41594">
        <w:t>.</w:t>
      </w:r>
    </w:p>
    <w:p w:rsidR="00EE0737" w:rsidRPr="00E04ABD" w:rsidRDefault="00EE0737" w:rsidP="00E912B6">
      <w:pPr>
        <w:pStyle w:val="Heading3"/>
      </w:pPr>
      <w:bookmarkStart w:id="38" w:name="_Toc475636850"/>
      <w:r w:rsidRPr="00E04ABD">
        <w:t>Facility Utilization</w:t>
      </w:r>
      <w:bookmarkEnd w:id="38"/>
    </w:p>
    <w:p w:rsidR="00EE0737" w:rsidRDefault="00EE0737" w:rsidP="00E912B6">
      <w:pPr>
        <w:spacing w:before="120"/>
      </w:pPr>
      <w:r w:rsidRPr="00A64197">
        <w:rPr>
          <w:b/>
        </w:rPr>
        <w:t>Facility Utilization Scope and Definitions</w:t>
      </w:r>
      <w:r w:rsidRPr="00A64197">
        <w:t>:</w:t>
      </w:r>
      <w:r w:rsidR="00093F9D" w:rsidRPr="00A64197">
        <w:t xml:space="preserve"> Facility utilization is the portion as a percent of total gross floor area (GFA) in tiered data centers that is actively used for racks that contain IT equipment.  In M-16-19, OMB has targeted greater than or equal to 80% facility utilization by September 30, 2018 and calculates this metric as</w:t>
      </w:r>
      <w:r w:rsidR="00F16AC5" w:rsidRPr="00A64197">
        <w:t xml:space="preserve"> the total rack count multiplied by 30 square feet, the average floor space that a rack occupies, and divides the product by the GFA of the facility.</w:t>
      </w:r>
      <w:r w:rsidR="00093F9D" w:rsidRPr="00A64197">
        <w:t xml:space="preserve"> </w:t>
      </w:r>
    </w:p>
    <w:p w:rsidR="00E912B6" w:rsidRDefault="00EE0737" w:rsidP="00E912B6">
      <w:pPr>
        <w:spacing w:before="120"/>
      </w:pPr>
      <w:r w:rsidRPr="00A64197">
        <w:rPr>
          <w:b/>
        </w:rPr>
        <w:t>Facility Utilization Status and Plan</w:t>
      </w:r>
      <w:r w:rsidRPr="00A64197">
        <w:t>:</w:t>
      </w:r>
      <w:r w:rsidR="00830DF9" w:rsidRPr="00A64197">
        <w:t xml:space="preserve">  </w:t>
      </w:r>
      <w:r w:rsidR="00DF744F">
        <w:t>DCOI reporting for this metric is required for DHS data centers that are both tiered and agency (i.e., Component) owned. T</w:t>
      </w:r>
      <w:r w:rsidR="00475B49" w:rsidRPr="00A64197">
        <w:t xml:space="preserve">he DHS ECS strategy is not ultimately about moving physical data centers and increasing numbers of racks in less physical area but about moving DHS to appropriate cloud deployment models in provisioned environments to the maximum extent possible. </w:t>
      </w:r>
      <w:r w:rsidR="00F41594" w:rsidRPr="006F1188">
        <w:t>The DHS CIO will dialogue with Components t</w:t>
      </w:r>
      <w:r w:rsidR="00F41594">
        <w:t xml:space="preserve">o determine their facility utilization plans for each of the 7 </w:t>
      </w:r>
      <w:r w:rsidR="00F41594" w:rsidRPr="006F1188">
        <w:t>DHS tiered agency-owned facilities.  As these facilities are already small, there are no assumptions as of the date of this report as to the improvements that will result.</w:t>
      </w:r>
    </w:p>
    <w:p w:rsidR="00C63078" w:rsidRPr="00A64197" w:rsidRDefault="00C63078" w:rsidP="00C63078">
      <w:pPr>
        <w:pStyle w:val="Caption"/>
        <w:jc w:val="center"/>
      </w:pPr>
      <w:bookmarkStart w:id="39" w:name="_Toc475635610"/>
      <w:proofErr w:type="gramStart"/>
      <w:r>
        <w:t xml:space="preserve">Figure </w:t>
      </w:r>
      <w:fldSimple w:instr=" SEQ Figure \* ARABIC ">
        <w:r>
          <w:rPr>
            <w:noProof/>
          </w:rPr>
          <w:t>10</w:t>
        </w:r>
      </w:fldSimple>
      <w:r>
        <w:t>.</w:t>
      </w:r>
      <w:proofErr w:type="gramEnd"/>
      <w:r>
        <w:t xml:space="preserve"> Component Reported Facility Utilization Performance</w:t>
      </w:r>
      <w:bookmarkEnd w:id="39"/>
    </w:p>
    <w:tbl>
      <w:tblPr>
        <w:tblStyle w:val="TableGrid"/>
        <w:tblW w:w="0" w:type="auto"/>
        <w:tblInd w:w="108" w:type="dxa"/>
        <w:tblLook w:val="04A0" w:firstRow="1" w:lastRow="0" w:firstColumn="1" w:lastColumn="0" w:noHBand="0" w:noVBand="1"/>
      </w:tblPr>
      <w:tblGrid>
        <w:gridCol w:w="2520"/>
        <w:gridCol w:w="1440"/>
        <w:gridCol w:w="1440"/>
        <w:gridCol w:w="1327"/>
        <w:gridCol w:w="1440"/>
        <w:gridCol w:w="1395"/>
      </w:tblGrid>
      <w:tr w:rsidR="00682D46" w:rsidRPr="00A64197" w:rsidTr="005D7142">
        <w:trPr>
          <w:tblHeader/>
        </w:trPr>
        <w:tc>
          <w:tcPr>
            <w:tcW w:w="2520" w:type="dxa"/>
            <w:vAlign w:val="center"/>
          </w:tcPr>
          <w:p w:rsidR="00682D46" w:rsidRPr="00A64197" w:rsidRDefault="00682D46" w:rsidP="00E912B6">
            <w:pPr>
              <w:spacing w:before="120"/>
              <w:jc w:val="center"/>
              <w:rPr>
                <w:b/>
                <w:sz w:val="22"/>
                <w:szCs w:val="22"/>
              </w:rPr>
            </w:pPr>
            <w:r w:rsidRPr="00A64197">
              <w:rPr>
                <w:b/>
                <w:sz w:val="22"/>
                <w:szCs w:val="22"/>
              </w:rPr>
              <w:t>Metric</w:t>
            </w:r>
          </w:p>
        </w:tc>
        <w:tc>
          <w:tcPr>
            <w:tcW w:w="1440" w:type="dxa"/>
            <w:vAlign w:val="center"/>
          </w:tcPr>
          <w:p w:rsidR="00682D46" w:rsidRPr="00A64197" w:rsidRDefault="00682D46" w:rsidP="00E912B6">
            <w:pPr>
              <w:spacing w:before="120"/>
              <w:jc w:val="center"/>
              <w:rPr>
                <w:b/>
                <w:sz w:val="22"/>
                <w:szCs w:val="22"/>
              </w:rPr>
            </w:pPr>
            <w:r w:rsidRPr="00A64197">
              <w:rPr>
                <w:b/>
                <w:sz w:val="22"/>
                <w:szCs w:val="22"/>
              </w:rPr>
              <w:t>FY16 Achieved</w:t>
            </w:r>
          </w:p>
        </w:tc>
        <w:tc>
          <w:tcPr>
            <w:tcW w:w="1440" w:type="dxa"/>
            <w:vAlign w:val="center"/>
          </w:tcPr>
          <w:p w:rsidR="00682D46" w:rsidRPr="00A64197" w:rsidRDefault="00682D46" w:rsidP="00E912B6">
            <w:pPr>
              <w:spacing w:before="120"/>
              <w:jc w:val="center"/>
              <w:rPr>
                <w:b/>
                <w:sz w:val="22"/>
                <w:szCs w:val="22"/>
              </w:rPr>
            </w:pPr>
            <w:r w:rsidRPr="00A64197">
              <w:rPr>
                <w:b/>
                <w:sz w:val="22"/>
                <w:szCs w:val="22"/>
              </w:rPr>
              <w:t>FY17 Planned</w:t>
            </w:r>
          </w:p>
        </w:tc>
        <w:tc>
          <w:tcPr>
            <w:tcW w:w="1327" w:type="dxa"/>
            <w:vAlign w:val="center"/>
          </w:tcPr>
          <w:p w:rsidR="00682D46" w:rsidRPr="00A64197" w:rsidRDefault="00682D46" w:rsidP="00E912B6">
            <w:pPr>
              <w:spacing w:before="120"/>
              <w:jc w:val="center"/>
              <w:rPr>
                <w:b/>
                <w:sz w:val="22"/>
                <w:szCs w:val="22"/>
              </w:rPr>
            </w:pPr>
            <w:r w:rsidRPr="00A64197">
              <w:rPr>
                <w:b/>
                <w:sz w:val="22"/>
                <w:szCs w:val="22"/>
              </w:rPr>
              <w:t>FY18 Planned</w:t>
            </w:r>
          </w:p>
        </w:tc>
        <w:tc>
          <w:tcPr>
            <w:tcW w:w="1440" w:type="dxa"/>
            <w:vAlign w:val="center"/>
          </w:tcPr>
          <w:p w:rsidR="00682D46" w:rsidRPr="00A64197" w:rsidRDefault="00682D46" w:rsidP="00E912B6">
            <w:pPr>
              <w:spacing w:before="120"/>
              <w:jc w:val="center"/>
              <w:rPr>
                <w:b/>
                <w:sz w:val="22"/>
                <w:szCs w:val="22"/>
              </w:rPr>
            </w:pPr>
            <w:r w:rsidRPr="00A64197">
              <w:rPr>
                <w:b/>
                <w:sz w:val="22"/>
                <w:szCs w:val="22"/>
              </w:rPr>
              <w:t>FY19 Planned</w:t>
            </w:r>
          </w:p>
        </w:tc>
        <w:tc>
          <w:tcPr>
            <w:tcW w:w="1395" w:type="dxa"/>
            <w:vAlign w:val="center"/>
          </w:tcPr>
          <w:p w:rsidR="00682D46" w:rsidRPr="00A64197" w:rsidRDefault="00682D46" w:rsidP="00E912B6">
            <w:pPr>
              <w:spacing w:before="120"/>
              <w:jc w:val="center"/>
              <w:rPr>
                <w:b/>
                <w:sz w:val="22"/>
                <w:szCs w:val="22"/>
              </w:rPr>
            </w:pPr>
            <w:r w:rsidRPr="00A64197">
              <w:rPr>
                <w:b/>
                <w:sz w:val="22"/>
                <w:szCs w:val="22"/>
              </w:rPr>
              <w:t>FY20 Planned</w:t>
            </w:r>
          </w:p>
        </w:tc>
      </w:tr>
      <w:tr w:rsidR="00682D46" w:rsidRPr="00A64197" w:rsidTr="00682D46">
        <w:trPr>
          <w:trHeight w:val="519"/>
        </w:trPr>
        <w:tc>
          <w:tcPr>
            <w:tcW w:w="2520" w:type="dxa"/>
            <w:vAlign w:val="center"/>
          </w:tcPr>
          <w:p w:rsidR="00682D46" w:rsidRPr="00A64197" w:rsidRDefault="00682D46" w:rsidP="00E912B6">
            <w:pPr>
              <w:spacing w:before="120"/>
              <w:jc w:val="center"/>
            </w:pPr>
            <w:r w:rsidRPr="00A64197">
              <w:t>Facility Utilization</w:t>
            </w:r>
          </w:p>
        </w:tc>
        <w:tc>
          <w:tcPr>
            <w:tcW w:w="1440" w:type="dxa"/>
            <w:vAlign w:val="center"/>
          </w:tcPr>
          <w:p w:rsidR="00682D46" w:rsidRPr="00A64197" w:rsidRDefault="00F41594" w:rsidP="00E912B6">
            <w:pPr>
              <w:spacing w:before="120"/>
              <w:jc w:val="center"/>
            </w:pPr>
            <w:r>
              <w:t>44.5</w:t>
            </w:r>
            <w:r w:rsidR="00682D46" w:rsidRPr="00A64197">
              <w:t>%</w:t>
            </w:r>
          </w:p>
        </w:tc>
        <w:tc>
          <w:tcPr>
            <w:tcW w:w="1440" w:type="dxa"/>
            <w:vAlign w:val="center"/>
          </w:tcPr>
          <w:p w:rsidR="00682D46" w:rsidRPr="00A64197" w:rsidRDefault="00F41594" w:rsidP="00E912B6">
            <w:pPr>
              <w:spacing w:before="120"/>
              <w:jc w:val="center"/>
            </w:pPr>
            <w:r>
              <w:t>46.8</w:t>
            </w:r>
            <w:r w:rsidR="00682D46" w:rsidRPr="00A64197">
              <w:t>%</w:t>
            </w:r>
          </w:p>
        </w:tc>
        <w:tc>
          <w:tcPr>
            <w:tcW w:w="1327" w:type="dxa"/>
            <w:vAlign w:val="center"/>
          </w:tcPr>
          <w:p w:rsidR="00682D46" w:rsidRPr="00A64197" w:rsidRDefault="00F41594" w:rsidP="00E912B6">
            <w:pPr>
              <w:spacing w:before="120"/>
              <w:jc w:val="center"/>
            </w:pPr>
            <w:r>
              <w:t>45.7</w:t>
            </w:r>
            <w:r w:rsidR="00682D46" w:rsidRPr="00A64197">
              <w:t>%</w:t>
            </w:r>
          </w:p>
        </w:tc>
        <w:tc>
          <w:tcPr>
            <w:tcW w:w="1440" w:type="dxa"/>
            <w:vAlign w:val="center"/>
          </w:tcPr>
          <w:p w:rsidR="00682D46" w:rsidRPr="00A64197" w:rsidRDefault="00F41594" w:rsidP="00E912B6">
            <w:pPr>
              <w:spacing w:before="120"/>
              <w:jc w:val="center"/>
            </w:pPr>
            <w:r>
              <w:t>TBD</w:t>
            </w:r>
          </w:p>
        </w:tc>
        <w:tc>
          <w:tcPr>
            <w:tcW w:w="1395" w:type="dxa"/>
            <w:vAlign w:val="center"/>
          </w:tcPr>
          <w:p w:rsidR="00682D46" w:rsidRPr="00A64197" w:rsidRDefault="00F41594" w:rsidP="00E912B6">
            <w:pPr>
              <w:spacing w:before="120"/>
              <w:jc w:val="center"/>
            </w:pPr>
            <w:r>
              <w:t>TBD</w:t>
            </w:r>
          </w:p>
        </w:tc>
      </w:tr>
      <w:tr w:rsidR="007B7453" w:rsidRPr="00A64197" w:rsidTr="00682D46">
        <w:trPr>
          <w:trHeight w:val="519"/>
        </w:trPr>
        <w:tc>
          <w:tcPr>
            <w:tcW w:w="2520" w:type="dxa"/>
            <w:vAlign w:val="center"/>
          </w:tcPr>
          <w:p w:rsidR="007B7453" w:rsidRPr="00A64197" w:rsidRDefault="007B7453" w:rsidP="00E912B6">
            <w:pPr>
              <w:spacing w:before="120"/>
              <w:jc w:val="center"/>
            </w:pPr>
            <w:r w:rsidRPr="00A64197">
              <w:t>Cost Avoidance</w:t>
            </w:r>
          </w:p>
        </w:tc>
        <w:tc>
          <w:tcPr>
            <w:tcW w:w="1440" w:type="dxa"/>
            <w:vAlign w:val="center"/>
          </w:tcPr>
          <w:p w:rsidR="007B7453" w:rsidRPr="00A64197" w:rsidRDefault="00F41594" w:rsidP="00E912B6">
            <w:pPr>
              <w:spacing w:before="120"/>
              <w:jc w:val="center"/>
            </w:pPr>
            <w:r>
              <w:t>$0</w:t>
            </w:r>
          </w:p>
        </w:tc>
        <w:tc>
          <w:tcPr>
            <w:tcW w:w="1440" w:type="dxa"/>
            <w:vAlign w:val="center"/>
          </w:tcPr>
          <w:p w:rsidR="007B7453" w:rsidRPr="00A64197" w:rsidRDefault="00F41594" w:rsidP="00E912B6">
            <w:pPr>
              <w:spacing w:before="120"/>
              <w:jc w:val="center"/>
            </w:pPr>
            <w:r>
              <w:t>TBD</w:t>
            </w:r>
          </w:p>
        </w:tc>
        <w:tc>
          <w:tcPr>
            <w:tcW w:w="1327" w:type="dxa"/>
            <w:vAlign w:val="center"/>
          </w:tcPr>
          <w:p w:rsidR="007B7453" w:rsidRPr="00A64197" w:rsidRDefault="00F41594" w:rsidP="00E912B6">
            <w:pPr>
              <w:spacing w:before="120"/>
              <w:jc w:val="center"/>
            </w:pPr>
            <w:r>
              <w:t>TBD</w:t>
            </w:r>
          </w:p>
        </w:tc>
        <w:tc>
          <w:tcPr>
            <w:tcW w:w="1440" w:type="dxa"/>
            <w:vAlign w:val="center"/>
          </w:tcPr>
          <w:p w:rsidR="007B7453" w:rsidRPr="00A64197" w:rsidRDefault="00F41594" w:rsidP="00E912B6">
            <w:pPr>
              <w:spacing w:before="120"/>
              <w:jc w:val="center"/>
            </w:pPr>
            <w:r>
              <w:t>TBD</w:t>
            </w:r>
          </w:p>
        </w:tc>
        <w:tc>
          <w:tcPr>
            <w:tcW w:w="1395" w:type="dxa"/>
            <w:vAlign w:val="center"/>
          </w:tcPr>
          <w:p w:rsidR="007B7453" w:rsidRPr="00A64197" w:rsidRDefault="00F41594" w:rsidP="00E912B6">
            <w:pPr>
              <w:spacing w:before="120"/>
              <w:jc w:val="center"/>
            </w:pPr>
            <w:r>
              <w:t>TBD</w:t>
            </w:r>
          </w:p>
        </w:tc>
      </w:tr>
      <w:tr w:rsidR="005D7142" w:rsidRPr="00A64197" w:rsidTr="00682D46">
        <w:trPr>
          <w:trHeight w:val="519"/>
        </w:trPr>
        <w:tc>
          <w:tcPr>
            <w:tcW w:w="2520" w:type="dxa"/>
            <w:vAlign w:val="center"/>
          </w:tcPr>
          <w:p w:rsidR="005D7142" w:rsidRPr="00A64197" w:rsidRDefault="00A64197" w:rsidP="00E912B6">
            <w:pPr>
              <w:spacing w:before="120"/>
              <w:jc w:val="center"/>
            </w:pPr>
            <w:r>
              <w:t xml:space="preserve">Operations </w:t>
            </w:r>
            <w:r w:rsidR="00475B49" w:rsidRPr="00A64197">
              <w:t>Savings</w:t>
            </w:r>
          </w:p>
        </w:tc>
        <w:tc>
          <w:tcPr>
            <w:tcW w:w="1440" w:type="dxa"/>
            <w:vAlign w:val="center"/>
          </w:tcPr>
          <w:p w:rsidR="005D7142" w:rsidRPr="00A64197" w:rsidRDefault="00F41594" w:rsidP="00E912B6">
            <w:pPr>
              <w:spacing w:before="120"/>
              <w:jc w:val="center"/>
            </w:pPr>
            <w:r>
              <w:t>$0</w:t>
            </w:r>
          </w:p>
        </w:tc>
        <w:tc>
          <w:tcPr>
            <w:tcW w:w="1440" w:type="dxa"/>
            <w:vAlign w:val="center"/>
          </w:tcPr>
          <w:p w:rsidR="005D7142" w:rsidRPr="00A64197" w:rsidRDefault="00F41594" w:rsidP="00E912B6">
            <w:pPr>
              <w:spacing w:before="120"/>
              <w:jc w:val="center"/>
            </w:pPr>
            <w:r>
              <w:t>TBD</w:t>
            </w:r>
          </w:p>
        </w:tc>
        <w:tc>
          <w:tcPr>
            <w:tcW w:w="1327" w:type="dxa"/>
            <w:vAlign w:val="center"/>
          </w:tcPr>
          <w:p w:rsidR="005D7142" w:rsidRPr="00A64197" w:rsidRDefault="00F41594" w:rsidP="00E912B6">
            <w:pPr>
              <w:spacing w:before="120"/>
              <w:jc w:val="center"/>
            </w:pPr>
            <w:r>
              <w:t>TBD</w:t>
            </w:r>
          </w:p>
        </w:tc>
        <w:tc>
          <w:tcPr>
            <w:tcW w:w="1440" w:type="dxa"/>
            <w:vAlign w:val="center"/>
          </w:tcPr>
          <w:p w:rsidR="005D7142" w:rsidRPr="00A64197" w:rsidRDefault="00F41594" w:rsidP="00E912B6">
            <w:pPr>
              <w:spacing w:before="120"/>
              <w:jc w:val="center"/>
            </w:pPr>
            <w:r>
              <w:t>TBD</w:t>
            </w:r>
          </w:p>
        </w:tc>
        <w:tc>
          <w:tcPr>
            <w:tcW w:w="1395" w:type="dxa"/>
            <w:vAlign w:val="center"/>
          </w:tcPr>
          <w:p w:rsidR="005D7142" w:rsidRPr="00A64197" w:rsidRDefault="00F41594" w:rsidP="00E912B6">
            <w:pPr>
              <w:spacing w:before="120"/>
              <w:jc w:val="center"/>
            </w:pPr>
            <w:r>
              <w:t>TBD</w:t>
            </w:r>
          </w:p>
        </w:tc>
      </w:tr>
    </w:tbl>
    <w:p w:rsidR="00456001" w:rsidRPr="00A64197" w:rsidRDefault="00D7173A" w:rsidP="00456001">
      <w:pPr>
        <w:spacing w:before="120"/>
      </w:pPr>
      <w:r w:rsidRPr="00A64197">
        <w:rPr>
          <w:u w:val="single"/>
        </w:rPr>
        <w:lastRenderedPageBreak/>
        <w:t>Facility Utilization Projected Savings and Avoidance</w:t>
      </w:r>
      <w:r w:rsidRPr="00A64197">
        <w:t xml:space="preserve">:  </w:t>
      </w:r>
      <w:r w:rsidR="00830DF9" w:rsidRPr="00A64197">
        <w:t>Facility</w:t>
      </w:r>
      <w:r w:rsidRPr="00A64197">
        <w:t xml:space="preserve"> spending data </w:t>
      </w:r>
      <w:r w:rsidR="00830DF9" w:rsidRPr="00A64197">
        <w:t xml:space="preserve">will reflect right sizing and other reasons </w:t>
      </w:r>
      <w:r w:rsidR="00361E2C" w:rsidRPr="00A64197">
        <w:t>for transition</w:t>
      </w:r>
      <w:r w:rsidR="00830DF9" w:rsidRPr="00A64197">
        <w:t xml:space="preserve"> separately from </w:t>
      </w:r>
      <w:r w:rsidRPr="00A64197">
        <w:t xml:space="preserve">changes </w:t>
      </w:r>
      <w:r w:rsidR="00830DF9" w:rsidRPr="00A64197">
        <w:t xml:space="preserve">in spend </w:t>
      </w:r>
      <w:r w:rsidRPr="00A64197">
        <w:t xml:space="preserve">due to cloud transition or to consolidation efforts for which savings </w:t>
      </w:r>
      <w:r w:rsidR="00F41594">
        <w:t xml:space="preserve">and avoidance </w:t>
      </w:r>
      <w:r w:rsidRPr="00A64197">
        <w:t xml:space="preserve">are also tracked.  </w:t>
      </w:r>
      <w:r w:rsidR="00456001">
        <w:t xml:space="preserve">Once Components for these facilities report server utilization plans, </w:t>
      </w:r>
      <w:r w:rsidR="00456001" w:rsidRPr="00A64197">
        <w:t>DHS will project cost avoidance for this measure on t</w:t>
      </w:r>
      <w:r w:rsidR="00456001">
        <w:t>he basis of the reduction in cost</w:t>
      </w:r>
      <w:r w:rsidR="00456001" w:rsidRPr="00A64197">
        <w:t xml:space="preserve"> from the FY 2016 actual.  Savings will also be projected from the F</w:t>
      </w:r>
      <w:r w:rsidR="00456001">
        <w:t>Y 2016 actual spend and</w:t>
      </w:r>
      <w:r w:rsidR="00456001" w:rsidRPr="00A64197">
        <w:t xml:space="preserve"> will continue to be measured and reported as reductions in year to year spend from projected levels</w:t>
      </w:r>
      <w:r w:rsidR="00456001">
        <w:t>.</w:t>
      </w:r>
    </w:p>
    <w:p w:rsidR="00725762" w:rsidRPr="00E04ABD" w:rsidRDefault="00E86E5C" w:rsidP="00E912B6">
      <w:pPr>
        <w:pStyle w:val="Heading2"/>
        <w:spacing w:before="120"/>
      </w:pPr>
      <w:bookmarkStart w:id="40" w:name="_Toc475636851"/>
      <w:r w:rsidRPr="00E04ABD">
        <w:t>Plan to Achieve DCOI Targeted Data Center</w:t>
      </w:r>
      <w:r w:rsidR="00725762" w:rsidRPr="00E04ABD">
        <w:t xml:space="preserve"> Closures</w:t>
      </w:r>
      <w:bookmarkEnd w:id="40"/>
    </w:p>
    <w:p w:rsidR="00725762" w:rsidRPr="00A64197" w:rsidRDefault="00B561DB" w:rsidP="00E912B6">
      <w:pPr>
        <w:spacing w:before="120"/>
      </w:pPr>
      <w:r w:rsidRPr="00A64197">
        <w:rPr>
          <w:b/>
        </w:rPr>
        <w:t>Scope and Definitions</w:t>
      </w:r>
      <w:r w:rsidRPr="00A64197">
        <w:t xml:space="preserve">:  </w:t>
      </w:r>
      <w:r w:rsidR="00481842" w:rsidRPr="00A64197">
        <w:t xml:space="preserve">OMB Memorandum M-16-19 requires that agencies </w:t>
      </w:r>
      <w:r w:rsidR="0087765D" w:rsidRPr="00A64197">
        <w:t xml:space="preserve">to </w:t>
      </w:r>
      <w:r w:rsidR="00481842" w:rsidRPr="00A64197">
        <w:t>accommodate</w:t>
      </w:r>
      <w:r w:rsidR="00725762" w:rsidRPr="00A64197">
        <w:t xml:space="preserve"> achieved and planned closures for each data center and fiscal year, as well as providing an explanation for any closure for which DHS did not meet the planned level in a previous Strategic Plan.</w:t>
      </w:r>
      <w:r w:rsidR="00481842" w:rsidRPr="00A64197">
        <w:rPr>
          <w:rStyle w:val="FootnoteReference"/>
        </w:rPr>
        <w:footnoteReference w:id="58"/>
      </w:r>
      <w:r w:rsidR="00481842" w:rsidRPr="00A64197">
        <w:t xml:space="preserve"> Specifically, M-16-19 </w:t>
      </w:r>
      <w:r w:rsidR="007E397F" w:rsidRPr="00A64197">
        <w:t xml:space="preserve">defines closed data centers as tiered and non-tiered data centers that no longer consume power for physical servers and/or no longer house physical servers whether in production, test, development, or any other environment.  </w:t>
      </w:r>
      <w:r w:rsidR="00B00E43" w:rsidRPr="00A64197">
        <w:t xml:space="preserve">M-16-19 </w:t>
      </w:r>
      <w:r w:rsidR="00481842" w:rsidRPr="00A64197">
        <w:t>requires agencies to close at least 25% of tiered data centers and 60% of non</w:t>
      </w:r>
      <w:r w:rsidR="004D3224" w:rsidRPr="00A64197">
        <w:t>-tiered data centers by the end of FY 2018. Per M-16-19, this target will achieve closure of approximately 52% of overall Federal data center inventory and a reduction of approximately 31% of gross floor area government-wide.</w:t>
      </w:r>
    </w:p>
    <w:p w:rsidR="00524D78" w:rsidRPr="00A64197" w:rsidRDefault="00265DEB" w:rsidP="00E912B6">
      <w:pPr>
        <w:spacing w:before="120"/>
      </w:pPr>
      <w:r w:rsidRPr="00A64197">
        <w:rPr>
          <w:b/>
        </w:rPr>
        <w:t>Data Center Closure Status and Plan</w:t>
      </w:r>
      <w:r w:rsidR="00B8617D" w:rsidRPr="00A64197">
        <w:t xml:space="preserve">:  </w:t>
      </w:r>
      <w:r w:rsidR="00524D78" w:rsidRPr="00A64197">
        <w:t xml:space="preserve">Closing </w:t>
      </w:r>
      <w:r w:rsidR="00F72A3A" w:rsidRPr="00A64197">
        <w:t xml:space="preserve">significantly more than </w:t>
      </w:r>
      <w:r w:rsidR="00524D78" w:rsidRPr="00A64197">
        <w:t>25% of DHS legacy data centers based on numbers of tiered facilities is planned but will not be co</w:t>
      </w:r>
      <w:r w:rsidR="00A83530">
        <w:t>mpleted by FY 2018.  DHS will focus on 25</w:t>
      </w:r>
      <w:r w:rsidR="00B8617D" w:rsidRPr="00A64197">
        <w:t xml:space="preserve"> </w:t>
      </w:r>
      <w:r w:rsidR="00524D78" w:rsidRPr="00A64197">
        <w:t xml:space="preserve">tiered </w:t>
      </w:r>
      <w:r w:rsidR="00B8617D" w:rsidRPr="00A64197">
        <w:t>data center</w:t>
      </w:r>
      <w:r w:rsidR="00524D78" w:rsidRPr="00A64197">
        <w:t xml:space="preserve">s </w:t>
      </w:r>
      <w:r w:rsidR="00033B87">
        <w:t>shown in Figure 11 below.  Two of these are the DHS Enterprise Data Centers, one is in migration execution, ten are currently considering transition and closing, and twelve currently plan to stay in place.  DHS is working with these</w:t>
      </w:r>
      <w:r w:rsidR="00524D78" w:rsidRPr="00A64197">
        <w:t xml:space="preserve"> Components and Data Center Managers to determine the best transition </w:t>
      </w:r>
      <w:r w:rsidR="00033B87">
        <w:t>and/or optimization solutions</w:t>
      </w:r>
      <w:r w:rsidR="00524D78" w:rsidRPr="00A64197">
        <w:t xml:space="preserve"> consistent with DHS ECS. However, achieving tra</w:t>
      </w:r>
      <w:r w:rsidR="00033B87">
        <w:t>nsition and closure for the 10 that are currently considering it</w:t>
      </w:r>
      <w:r w:rsidR="00524D78" w:rsidRPr="00A64197">
        <w:t xml:space="preserve"> is going to depend on the ability of the Components/Programs involved to fund the transition.  Status of funding for transition is not known as of this publication.  Therefore, DHS must assume that all but the in-process migration depend on FY 2019 budget decisions.  We will be coordinating with the designated Components to determine the viability of metering these hosted facilities in place </w:t>
      </w:r>
      <w:r w:rsidR="00524D78" w:rsidRPr="00A64197">
        <w:lastRenderedPageBreak/>
        <w:t>pending their enterprise decisions and funding.  We will revisit this projection in the April 2017 update.</w:t>
      </w:r>
    </w:p>
    <w:p w:rsidR="00F72A3A" w:rsidRPr="00A64197" w:rsidRDefault="00F72A3A" w:rsidP="00E912B6">
      <w:pPr>
        <w:pStyle w:val="Caption"/>
        <w:spacing w:before="120"/>
        <w:jc w:val="center"/>
      </w:pPr>
      <w:bookmarkStart w:id="41" w:name="_Toc475635611"/>
      <w:proofErr w:type="gramStart"/>
      <w:r w:rsidRPr="00A64197">
        <w:t xml:space="preserve">Figure </w:t>
      </w:r>
      <w:fldSimple w:instr=" SEQ Figure \* ARABIC ">
        <w:r w:rsidR="00C63078">
          <w:rPr>
            <w:noProof/>
          </w:rPr>
          <w:t>11</w:t>
        </w:r>
      </w:fldSimple>
      <w:r w:rsidR="00456001">
        <w:t>.</w:t>
      </w:r>
      <w:proofErr w:type="gramEnd"/>
      <w:r w:rsidR="00456001">
        <w:t xml:space="preserve"> Data Centers Considering</w:t>
      </w:r>
      <w:r w:rsidRPr="00A64197">
        <w:t xml:space="preserve"> Enterprise and Provisioned Computing Solutions</w:t>
      </w:r>
      <w:bookmarkEnd w:id="41"/>
    </w:p>
    <w:tbl>
      <w:tblPr>
        <w:tblStyle w:val="TableGrid"/>
        <w:tblW w:w="0" w:type="auto"/>
        <w:tblInd w:w="108" w:type="dxa"/>
        <w:tblLayout w:type="fixed"/>
        <w:tblLook w:val="04A0" w:firstRow="1" w:lastRow="0" w:firstColumn="1" w:lastColumn="0" w:noHBand="0" w:noVBand="1"/>
      </w:tblPr>
      <w:tblGrid>
        <w:gridCol w:w="3240"/>
        <w:gridCol w:w="900"/>
        <w:gridCol w:w="5400"/>
      </w:tblGrid>
      <w:tr w:rsidR="00F72A3A" w:rsidRPr="00A64197" w:rsidTr="008C740C">
        <w:trPr>
          <w:tblHeader/>
        </w:trPr>
        <w:tc>
          <w:tcPr>
            <w:tcW w:w="3240" w:type="dxa"/>
          </w:tcPr>
          <w:p w:rsidR="00F72A3A" w:rsidRPr="00A64197" w:rsidRDefault="00F72A3A" w:rsidP="00E912B6">
            <w:pPr>
              <w:spacing w:before="120"/>
              <w:jc w:val="center"/>
              <w:rPr>
                <w:b/>
              </w:rPr>
            </w:pPr>
            <w:r w:rsidRPr="00A64197">
              <w:rPr>
                <w:b/>
              </w:rPr>
              <w:t>Tiered Data Center</w:t>
            </w:r>
          </w:p>
        </w:tc>
        <w:tc>
          <w:tcPr>
            <w:tcW w:w="900" w:type="dxa"/>
          </w:tcPr>
          <w:p w:rsidR="00F72A3A" w:rsidRPr="00A64197" w:rsidRDefault="00F72A3A" w:rsidP="00E912B6">
            <w:pPr>
              <w:spacing w:before="120"/>
              <w:jc w:val="center"/>
              <w:rPr>
                <w:b/>
              </w:rPr>
            </w:pPr>
            <w:proofErr w:type="spellStart"/>
            <w:r w:rsidRPr="00A64197">
              <w:rPr>
                <w:b/>
              </w:rPr>
              <w:t>Qty</w:t>
            </w:r>
            <w:proofErr w:type="spellEnd"/>
          </w:p>
        </w:tc>
        <w:tc>
          <w:tcPr>
            <w:tcW w:w="5400" w:type="dxa"/>
          </w:tcPr>
          <w:p w:rsidR="00F72A3A" w:rsidRPr="00A64197" w:rsidRDefault="003B41F8" w:rsidP="00E912B6">
            <w:pPr>
              <w:spacing w:before="120"/>
              <w:jc w:val="center"/>
              <w:rPr>
                <w:b/>
              </w:rPr>
            </w:pPr>
            <w:r w:rsidRPr="00A64197">
              <w:rPr>
                <w:b/>
              </w:rPr>
              <w:t>DHS DCOI</w:t>
            </w:r>
            <w:r w:rsidR="008C740C" w:rsidRPr="00A64197">
              <w:rPr>
                <w:b/>
              </w:rPr>
              <w:t xml:space="preserve"> Activity</w:t>
            </w:r>
          </w:p>
        </w:tc>
      </w:tr>
      <w:tr w:rsidR="00F72A3A" w:rsidRPr="00A64197" w:rsidTr="008C740C">
        <w:tc>
          <w:tcPr>
            <w:tcW w:w="3240" w:type="dxa"/>
          </w:tcPr>
          <w:p w:rsidR="00F72A3A" w:rsidRPr="00A64197" w:rsidRDefault="00F72A3A" w:rsidP="00E912B6">
            <w:pPr>
              <w:spacing w:before="120"/>
            </w:pPr>
            <w:r w:rsidRPr="00A64197">
              <w:t>DHS Enterprise Data Centers</w:t>
            </w:r>
          </w:p>
        </w:tc>
        <w:tc>
          <w:tcPr>
            <w:tcW w:w="900" w:type="dxa"/>
          </w:tcPr>
          <w:p w:rsidR="00F72A3A" w:rsidRPr="00A64197" w:rsidRDefault="00F72A3A" w:rsidP="00E912B6">
            <w:pPr>
              <w:spacing w:before="120"/>
              <w:jc w:val="center"/>
            </w:pPr>
            <w:r w:rsidRPr="00A64197">
              <w:t>2</w:t>
            </w:r>
          </w:p>
        </w:tc>
        <w:tc>
          <w:tcPr>
            <w:tcW w:w="5400" w:type="dxa"/>
          </w:tcPr>
          <w:p w:rsidR="00F72A3A" w:rsidRPr="00A64197" w:rsidRDefault="00361E2C" w:rsidP="00E912B6">
            <w:pPr>
              <w:spacing w:before="120"/>
            </w:pPr>
            <w:r>
              <w:t>Complete new acquisition</w:t>
            </w:r>
            <w:r w:rsidR="00F72A3A" w:rsidRPr="00A64197">
              <w:t xml:space="preserve"> and continue operation.</w:t>
            </w:r>
          </w:p>
        </w:tc>
      </w:tr>
      <w:tr w:rsidR="00F72A3A" w:rsidRPr="00A64197" w:rsidTr="008C740C">
        <w:tc>
          <w:tcPr>
            <w:tcW w:w="3240" w:type="dxa"/>
          </w:tcPr>
          <w:p w:rsidR="00F72A3A" w:rsidRPr="00A64197" w:rsidRDefault="00F72A3A" w:rsidP="00E912B6">
            <w:pPr>
              <w:spacing w:before="120"/>
            </w:pPr>
            <w:r w:rsidRPr="00A64197">
              <w:t>CBP Newington Data Center</w:t>
            </w:r>
          </w:p>
        </w:tc>
        <w:tc>
          <w:tcPr>
            <w:tcW w:w="900" w:type="dxa"/>
          </w:tcPr>
          <w:p w:rsidR="00F72A3A" w:rsidRPr="00A64197" w:rsidRDefault="00F72A3A" w:rsidP="00E912B6">
            <w:pPr>
              <w:spacing w:before="120"/>
              <w:jc w:val="center"/>
            </w:pPr>
            <w:r w:rsidRPr="00A64197">
              <w:t>1</w:t>
            </w:r>
          </w:p>
        </w:tc>
        <w:tc>
          <w:tcPr>
            <w:tcW w:w="5400" w:type="dxa"/>
          </w:tcPr>
          <w:p w:rsidR="00F72A3A" w:rsidRPr="00A64197" w:rsidRDefault="008C740C" w:rsidP="00E912B6">
            <w:pPr>
              <w:spacing w:before="120"/>
            </w:pPr>
            <w:r w:rsidRPr="00A64197">
              <w:t>Work with Component to resolve best solutions, resource requirements and schedule to t</w:t>
            </w:r>
            <w:r w:rsidR="00F72A3A" w:rsidRPr="00A64197">
              <w:t>ransition to provisioned environment and close</w:t>
            </w:r>
          </w:p>
        </w:tc>
      </w:tr>
      <w:tr w:rsidR="00F72A3A" w:rsidRPr="00A64197" w:rsidTr="008C740C">
        <w:tc>
          <w:tcPr>
            <w:tcW w:w="3240" w:type="dxa"/>
          </w:tcPr>
          <w:p w:rsidR="00210764" w:rsidRDefault="00210764" w:rsidP="00E912B6">
            <w:pPr>
              <w:spacing w:before="120"/>
            </w:pPr>
            <w:r>
              <w:t>FEMA</w:t>
            </w:r>
          </w:p>
          <w:p w:rsidR="00210764" w:rsidRDefault="004636ED" w:rsidP="00210764">
            <w:pPr>
              <w:spacing w:before="120"/>
            </w:pPr>
            <w:r>
              <w:t xml:space="preserve">- </w:t>
            </w:r>
            <w:r w:rsidR="00210764">
              <w:t xml:space="preserve">Rocket Center (DMARTS), </w:t>
            </w:r>
            <w:proofErr w:type="spellStart"/>
            <w:r w:rsidR="00210764">
              <w:t>Venyu</w:t>
            </w:r>
            <w:proofErr w:type="spellEnd"/>
            <w:r w:rsidR="00210764">
              <w:t xml:space="preserve"> Solutions Baton Rouge</w:t>
            </w:r>
          </w:p>
          <w:p w:rsidR="004636ED" w:rsidRDefault="004636ED" w:rsidP="00E912B6">
            <w:pPr>
              <w:spacing w:before="120"/>
            </w:pPr>
          </w:p>
          <w:p w:rsidR="004636ED" w:rsidRDefault="004636ED" w:rsidP="00E912B6">
            <w:pPr>
              <w:spacing w:before="120"/>
            </w:pPr>
          </w:p>
          <w:p w:rsidR="00F72A3A" w:rsidRPr="00A64197" w:rsidRDefault="00210764" w:rsidP="00E912B6">
            <w:pPr>
              <w:spacing w:before="120"/>
            </w:pPr>
            <w:r>
              <w:t>-</w:t>
            </w:r>
            <w:r w:rsidR="004636ED">
              <w:t xml:space="preserve">SAIC Abingdon MD, </w:t>
            </w:r>
            <w:r w:rsidR="00F72A3A" w:rsidRPr="00A64197">
              <w:t>Emergency Operations Center ITSC</w:t>
            </w:r>
          </w:p>
        </w:tc>
        <w:tc>
          <w:tcPr>
            <w:tcW w:w="900" w:type="dxa"/>
          </w:tcPr>
          <w:p w:rsidR="00F72A3A" w:rsidRDefault="00F72A3A" w:rsidP="00E912B6">
            <w:pPr>
              <w:spacing w:before="120"/>
              <w:jc w:val="center"/>
            </w:pPr>
          </w:p>
          <w:p w:rsidR="004636ED" w:rsidRDefault="004636ED" w:rsidP="00E912B6">
            <w:pPr>
              <w:spacing w:before="120"/>
              <w:jc w:val="center"/>
            </w:pPr>
            <w:r>
              <w:t>2</w:t>
            </w:r>
          </w:p>
          <w:p w:rsidR="004636ED" w:rsidRPr="004636ED" w:rsidRDefault="004636ED" w:rsidP="00E912B6">
            <w:pPr>
              <w:spacing w:before="120"/>
              <w:jc w:val="center"/>
              <w:rPr>
                <w:sz w:val="18"/>
                <w:szCs w:val="18"/>
              </w:rPr>
            </w:pPr>
          </w:p>
          <w:p w:rsidR="004636ED" w:rsidRPr="004636ED" w:rsidRDefault="004636ED" w:rsidP="00E912B6">
            <w:pPr>
              <w:spacing w:before="120"/>
              <w:jc w:val="center"/>
              <w:rPr>
                <w:sz w:val="16"/>
                <w:szCs w:val="16"/>
              </w:rPr>
            </w:pPr>
          </w:p>
          <w:p w:rsidR="004636ED" w:rsidRDefault="004636ED" w:rsidP="00E912B6">
            <w:pPr>
              <w:spacing w:before="120"/>
              <w:jc w:val="center"/>
            </w:pPr>
          </w:p>
          <w:p w:rsidR="004636ED" w:rsidRPr="00A64197" w:rsidRDefault="004636ED" w:rsidP="00E912B6">
            <w:pPr>
              <w:spacing w:before="120"/>
              <w:jc w:val="center"/>
            </w:pPr>
            <w:r>
              <w:t>2</w:t>
            </w:r>
          </w:p>
        </w:tc>
        <w:tc>
          <w:tcPr>
            <w:tcW w:w="5400" w:type="dxa"/>
          </w:tcPr>
          <w:p w:rsidR="004636ED" w:rsidRDefault="004636ED" w:rsidP="00E912B6">
            <w:pPr>
              <w:spacing w:before="120"/>
            </w:pPr>
          </w:p>
          <w:p w:rsidR="004636ED" w:rsidRDefault="004636ED" w:rsidP="00E912B6">
            <w:pPr>
              <w:spacing w:before="120"/>
            </w:pPr>
            <w:r w:rsidRPr="00A64197">
              <w:t>Work with Component to resolve best solutions, resource requirements and schedule to transition to provisioned environment and close</w:t>
            </w:r>
          </w:p>
          <w:p w:rsidR="004636ED" w:rsidRDefault="004636ED" w:rsidP="00E912B6">
            <w:pPr>
              <w:spacing w:before="120"/>
            </w:pPr>
          </w:p>
          <w:p w:rsidR="00F72A3A" w:rsidRPr="00A64197" w:rsidRDefault="008C740C" w:rsidP="00E912B6">
            <w:pPr>
              <w:spacing w:before="120"/>
            </w:pPr>
            <w:r w:rsidRPr="00A64197">
              <w:t xml:space="preserve">As Component wishes to stay in place, evaluate Component’s likelihood to meet all DCOI metric objectives </w:t>
            </w:r>
          </w:p>
        </w:tc>
      </w:tr>
      <w:tr w:rsidR="00F72A3A" w:rsidRPr="00A64197" w:rsidTr="008C740C">
        <w:tc>
          <w:tcPr>
            <w:tcW w:w="3240" w:type="dxa"/>
          </w:tcPr>
          <w:p w:rsidR="00F72A3A" w:rsidRPr="00A64197" w:rsidRDefault="00F72A3A" w:rsidP="00E912B6">
            <w:pPr>
              <w:spacing w:before="120"/>
            </w:pPr>
            <w:r w:rsidRPr="00A64197">
              <w:t>FLETC hosted facilities</w:t>
            </w:r>
          </w:p>
          <w:p w:rsidR="00F72A3A" w:rsidRPr="00A64197" w:rsidRDefault="008C740C" w:rsidP="00E912B6">
            <w:pPr>
              <w:pStyle w:val="ListParagraph"/>
              <w:numPr>
                <w:ilvl w:val="0"/>
                <w:numId w:val="36"/>
              </w:numPr>
              <w:spacing w:before="120"/>
            </w:pPr>
            <w:proofErr w:type="spellStart"/>
            <w:r w:rsidRPr="00A64197">
              <w:t>Glynco</w:t>
            </w:r>
            <w:proofErr w:type="spellEnd"/>
            <w:r w:rsidRPr="00A64197">
              <w:t xml:space="preserve">, Cheltenham, Charleston, and Artesia </w:t>
            </w:r>
            <w:r w:rsidR="00F72A3A" w:rsidRPr="00A64197">
              <w:t>CSF</w:t>
            </w:r>
          </w:p>
        </w:tc>
        <w:tc>
          <w:tcPr>
            <w:tcW w:w="900" w:type="dxa"/>
          </w:tcPr>
          <w:p w:rsidR="008C740C" w:rsidRPr="00A64197" w:rsidRDefault="008C740C" w:rsidP="00E912B6">
            <w:pPr>
              <w:spacing w:before="120"/>
              <w:jc w:val="center"/>
            </w:pPr>
          </w:p>
          <w:p w:rsidR="00F72A3A" w:rsidRPr="00A64197" w:rsidRDefault="00F72A3A" w:rsidP="00E912B6">
            <w:pPr>
              <w:spacing w:before="120"/>
              <w:jc w:val="center"/>
            </w:pPr>
            <w:r w:rsidRPr="00A64197">
              <w:t>4</w:t>
            </w:r>
          </w:p>
        </w:tc>
        <w:tc>
          <w:tcPr>
            <w:tcW w:w="5400" w:type="dxa"/>
          </w:tcPr>
          <w:p w:rsidR="008C740C" w:rsidRPr="00A64197" w:rsidRDefault="008C740C" w:rsidP="00E912B6">
            <w:pPr>
              <w:spacing w:before="120"/>
            </w:pPr>
          </w:p>
          <w:p w:rsidR="00F72A3A" w:rsidRPr="00A64197" w:rsidRDefault="004636ED" w:rsidP="00E912B6">
            <w:pPr>
              <w:spacing w:before="120"/>
            </w:pPr>
            <w:r w:rsidRPr="00A64197">
              <w:t>As Component wishes to stay in place, evaluate Component’s likelihood to meet all DCOI metric objectives</w:t>
            </w:r>
          </w:p>
        </w:tc>
      </w:tr>
      <w:tr w:rsidR="00F72A3A" w:rsidRPr="00A64197" w:rsidTr="008C740C">
        <w:tc>
          <w:tcPr>
            <w:tcW w:w="3240" w:type="dxa"/>
          </w:tcPr>
          <w:p w:rsidR="00F72A3A" w:rsidRPr="00A64197" w:rsidRDefault="00F72A3A" w:rsidP="00E912B6">
            <w:pPr>
              <w:spacing w:before="120"/>
            </w:pPr>
            <w:r w:rsidRPr="00A64197">
              <w:t>NPPD LENS hosted facility</w:t>
            </w:r>
          </w:p>
        </w:tc>
        <w:tc>
          <w:tcPr>
            <w:tcW w:w="900" w:type="dxa"/>
          </w:tcPr>
          <w:p w:rsidR="00F72A3A" w:rsidRPr="00A64197" w:rsidRDefault="00F72A3A" w:rsidP="00E912B6">
            <w:pPr>
              <w:spacing w:before="120"/>
              <w:jc w:val="center"/>
            </w:pPr>
            <w:r w:rsidRPr="00A64197">
              <w:t>1</w:t>
            </w:r>
          </w:p>
        </w:tc>
        <w:tc>
          <w:tcPr>
            <w:tcW w:w="5400" w:type="dxa"/>
          </w:tcPr>
          <w:p w:rsidR="00F72A3A" w:rsidRPr="00A64197" w:rsidRDefault="008C740C" w:rsidP="00E912B6">
            <w:pPr>
              <w:spacing w:before="120"/>
            </w:pPr>
            <w:r w:rsidRPr="00A64197">
              <w:t xml:space="preserve">Work with Component to resolve best solutions, resource requirements and schedule to transition to provisioned environment and close </w:t>
            </w:r>
            <w:r w:rsidR="00F72A3A" w:rsidRPr="00A64197">
              <w:t>Considering</w:t>
            </w:r>
          </w:p>
        </w:tc>
      </w:tr>
      <w:tr w:rsidR="00F72A3A" w:rsidRPr="00A64197" w:rsidTr="008C740C">
        <w:tc>
          <w:tcPr>
            <w:tcW w:w="3240" w:type="dxa"/>
          </w:tcPr>
          <w:p w:rsidR="00F72A3A" w:rsidRPr="00A64197" w:rsidRDefault="00F72A3A" w:rsidP="00E912B6">
            <w:pPr>
              <w:spacing w:before="120"/>
            </w:pPr>
            <w:r w:rsidRPr="00A64197">
              <w:t>S&amp;T Program hosted centers</w:t>
            </w:r>
          </w:p>
          <w:p w:rsidR="00F72A3A" w:rsidRPr="00A64197" w:rsidRDefault="00F72A3A" w:rsidP="00E912B6">
            <w:pPr>
              <w:pStyle w:val="ListParagraph"/>
              <w:numPr>
                <w:ilvl w:val="0"/>
                <w:numId w:val="36"/>
              </w:numPr>
              <w:spacing w:before="120"/>
            </w:pPr>
            <w:r w:rsidRPr="00A64197">
              <w:t>SAVVIS</w:t>
            </w:r>
            <w:r w:rsidR="00E912B6">
              <w:t xml:space="preserve">, </w:t>
            </w:r>
            <w:r w:rsidRPr="00A64197">
              <w:t>RTI</w:t>
            </w:r>
            <w:r w:rsidR="00E912B6">
              <w:t xml:space="preserve">, </w:t>
            </w:r>
            <w:r w:rsidRPr="00A64197">
              <w:t>ANSER</w:t>
            </w:r>
          </w:p>
        </w:tc>
        <w:tc>
          <w:tcPr>
            <w:tcW w:w="900" w:type="dxa"/>
          </w:tcPr>
          <w:p w:rsidR="00F72A3A" w:rsidRPr="00A64197" w:rsidRDefault="00F72A3A" w:rsidP="00E912B6">
            <w:pPr>
              <w:spacing w:before="120"/>
              <w:jc w:val="center"/>
            </w:pPr>
            <w:r w:rsidRPr="00A64197">
              <w:t>3</w:t>
            </w:r>
          </w:p>
        </w:tc>
        <w:tc>
          <w:tcPr>
            <w:tcW w:w="5400" w:type="dxa"/>
          </w:tcPr>
          <w:p w:rsidR="00F72A3A" w:rsidRPr="00A64197" w:rsidRDefault="008C740C" w:rsidP="00E912B6">
            <w:pPr>
              <w:spacing w:before="120"/>
            </w:pPr>
            <w:r w:rsidRPr="00A64197">
              <w:t>Work with Component to resolve best solutions, resource requirements and schedule to transition to provisioned environment and close</w:t>
            </w:r>
          </w:p>
        </w:tc>
      </w:tr>
      <w:tr w:rsidR="00F72A3A" w:rsidRPr="00A64197" w:rsidTr="008C740C">
        <w:tc>
          <w:tcPr>
            <w:tcW w:w="3240" w:type="dxa"/>
          </w:tcPr>
          <w:p w:rsidR="00F72A3A" w:rsidRPr="00A64197" w:rsidRDefault="00F72A3A" w:rsidP="00E912B6">
            <w:pPr>
              <w:spacing w:before="120"/>
            </w:pPr>
            <w:r w:rsidRPr="00A64197">
              <w:t>TSA hosted centers:</w:t>
            </w:r>
          </w:p>
          <w:p w:rsidR="00F72A3A" w:rsidRPr="00A64197" w:rsidRDefault="00F72A3A" w:rsidP="00E912B6">
            <w:pPr>
              <w:pStyle w:val="ListParagraph"/>
              <w:numPr>
                <w:ilvl w:val="0"/>
                <w:numId w:val="36"/>
              </w:numPr>
              <w:spacing w:before="120"/>
            </w:pPr>
            <w:r w:rsidRPr="00A64197">
              <w:t>FAMS</w:t>
            </w:r>
          </w:p>
          <w:p w:rsidR="008C740C" w:rsidRPr="00A64197" w:rsidRDefault="008C740C" w:rsidP="00E912B6">
            <w:pPr>
              <w:spacing w:before="120"/>
            </w:pPr>
          </w:p>
          <w:p w:rsidR="00F72A3A" w:rsidRPr="00A64197" w:rsidRDefault="004636ED" w:rsidP="00E912B6">
            <w:pPr>
              <w:pStyle w:val="ListParagraph"/>
              <w:numPr>
                <w:ilvl w:val="0"/>
                <w:numId w:val="36"/>
              </w:numPr>
              <w:spacing w:before="120"/>
            </w:pPr>
            <w:r>
              <w:t xml:space="preserve">SOCD LAN2, </w:t>
            </w:r>
            <w:r w:rsidR="00F72A3A" w:rsidRPr="00A64197">
              <w:t>CSOC TTAC</w:t>
            </w:r>
            <w:r>
              <w:t>,</w:t>
            </w:r>
            <w:r w:rsidR="008C740C" w:rsidRPr="00A64197">
              <w:t xml:space="preserve"> </w:t>
            </w:r>
            <w:r w:rsidR="00F72A3A" w:rsidRPr="00A64197">
              <w:t>AJOC TTAC</w:t>
            </w:r>
          </w:p>
        </w:tc>
        <w:tc>
          <w:tcPr>
            <w:tcW w:w="900" w:type="dxa"/>
          </w:tcPr>
          <w:p w:rsidR="00F72A3A" w:rsidRPr="00A64197" w:rsidRDefault="00F72A3A" w:rsidP="00E912B6">
            <w:pPr>
              <w:spacing w:before="120"/>
              <w:jc w:val="center"/>
            </w:pPr>
          </w:p>
          <w:p w:rsidR="008C740C" w:rsidRPr="00A64197" w:rsidRDefault="008C740C" w:rsidP="00E912B6">
            <w:pPr>
              <w:spacing w:before="120"/>
              <w:jc w:val="center"/>
            </w:pPr>
            <w:r w:rsidRPr="00A64197">
              <w:t>1</w:t>
            </w:r>
          </w:p>
          <w:p w:rsidR="008C740C" w:rsidRPr="00A64197" w:rsidRDefault="008C740C" w:rsidP="00E912B6">
            <w:pPr>
              <w:spacing w:before="120"/>
              <w:jc w:val="center"/>
            </w:pPr>
          </w:p>
          <w:p w:rsidR="008C740C" w:rsidRPr="00A64197" w:rsidRDefault="004636ED" w:rsidP="00E912B6">
            <w:pPr>
              <w:spacing w:before="120"/>
              <w:jc w:val="center"/>
            </w:pPr>
            <w:r>
              <w:t>3</w:t>
            </w:r>
          </w:p>
        </w:tc>
        <w:tc>
          <w:tcPr>
            <w:tcW w:w="5400" w:type="dxa"/>
          </w:tcPr>
          <w:p w:rsidR="00F72A3A" w:rsidRPr="00A64197" w:rsidRDefault="00F72A3A" w:rsidP="00E912B6">
            <w:pPr>
              <w:spacing w:before="120"/>
            </w:pPr>
          </w:p>
          <w:p w:rsidR="00F72A3A" w:rsidRPr="00A64197" w:rsidRDefault="00F72A3A" w:rsidP="00E912B6">
            <w:pPr>
              <w:spacing w:before="120"/>
            </w:pPr>
            <w:r w:rsidRPr="00A64197">
              <w:t>Migration execution</w:t>
            </w:r>
            <w:r w:rsidR="008C740C" w:rsidRPr="00A64197">
              <w:t xml:space="preserve"> in progress</w:t>
            </w:r>
          </w:p>
          <w:p w:rsidR="008C740C" w:rsidRPr="00A64197" w:rsidRDefault="008C740C" w:rsidP="00E912B6">
            <w:pPr>
              <w:spacing w:before="120"/>
            </w:pPr>
          </w:p>
          <w:p w:rsidR="008C740C" w:rsidRPr="00A64197" w:rsidRDefault="008C740C" w:rsidP="00E912B6">
            <w:pPr>
              <w:spacing w:before="120"/>
            </w:pPr>
            <w:r w:rsidRPr="00A64197">
              <w:t>As Component wishes to stay in place, evaluate Component’s likelihood to meet all DCOI metric objectives</w:t>
            </w:r>
          </w:p>
        </w:tc>
      </w:tr>
      <w:tr w:rsidR="00F72A3A" w:rsidRPr="00A64197" w:rsidTr="008C740C">
        <w:tc>
          <w:tcPr>
            <w:tcW w:w="3240" w:type="dxa"/>
          </w:tcPr>
          <w:p w:rsidR="00F72A3A" w:rsidRPr="00BC1149" w:rsidRDefault="00F72A3A" w:rsidP="00E912B6">
            <w:pPr>
              <w:spacing w:before="120"/>
              <w:rPr>
                <w:szCs w:val="24"/>
              </w:rPr>
            </w:pPr>
            <w:r w:rsidRPr="00BC1149">
              <w:rPr>
                <w:szCs w:val="24"/>
              </w:rPr>
              <w:t>USCG  hosted centers</w:t>
            </w:r>
          </w:p>
          <w:p w:rsidR="00F72A3A" w:rsidRPr="00BC1149" w:rsidRDefault="00F72A3A" w:rsidP="00E912B6">
            <w:pPr>
              <w:pStyle w:val="ListParagraph"/>
              <w:numPr>
                <w:ilvl w:val="0"/>
                <w:numId w:val="36"/>
              </w:numPr>
              <w:spacing w:before="120"/>
              <w:rPr>
                <w:szCs w:val="24"/>
              </w:rPr>
            </w:pPr>
            <w:r w:rsidRPr="00BC1149">
              <w:rPr>
                <w:szCs w:val="24"/>
              </w:rPr>
              <w:t>ALC</w:t>
            </w:r>
            <w:r w:rsidR="008C740C" w:rsidRPr="00BC1149">
              <w:rPr>
                <w:szCs w:val="24"/>
              </w:rPr>
              <w:t xml:space="preserve"> and </w:t>
            </w:r>
            <w:r w:rsidRPr="00BC1149">
              <w:rPr>
                <w:szCs w:val="24"/>
              </w:rPr>
              <w:t>FINCEN</w:t>
            </w:r>
          </w:p>
          <w:p w:rsidR="008C740C" w:rsidRPr="00BC1149" w:rsidRDefault="008C740C" w:rsidP="00E912B6">
            <w:pPr>
              <w:pStyle w:val="ListParagraph"/>
              <w:spacing w:before="120"/>
              <w:rPr>
                <w:szCs w:val="24"/>
              </w:rPr>
            </w:pPr>
          </w:p>
          <w:p w:rsidR="008C740C" w:rsidRPr="00BC1149" w:rsidRDefault="008C740C" w:rsidP="00E912B6">
            <w:pPr>
              <w:pStyle w:val="ListParagraph"/>
              <w:spacing w:before="120"/>
              <w:rPr>
                <w:szCs w:val="24"/>
              </w:rPr>
            </w:pPr>
          </w:p>
          <w:p w:rsidR="00F72A3A" w:rsidRPr="00BC1149" w:rsidRDefault="00F72A3A" w:rsidP="00E912B6">
            <w:pPr>
              <w:pStyle w:val="ListParagraph"/>
              <w:numPr>
                <w:ilvl w:val="0"/>
                <w:numId w:val="36"/>
              </w:numPr>
              <w:spacing w:before="120"/>
              <w:rPr>
                <w:szCs w:val="24"/>
              </w:rPr>
            </w:pPr>
            <w:r w:rsidRPr="00BC1149">
              <w:rPr>
                <w:szCs w:val="24"/>
              </w:rPr>
              <w:t>OSC</w:t>
            </w:r>
          </w:p>
        </w:tc>
        <w:tc>
          <w:tcPr>
            <w:tcW w:w="900" w:type="dxa"/>
          </w:tcPr>
          <w:p w:rsidR="008C740C" w:rsidRPr="00BC1149" w:rsidRDefault="008C740C" w:rsidP="00E912B6">
            <w:pPr>
              <w:spacing w:before="120"/>
              <w:jc w:val="center"/>
              <w:rPr>
                <w:szCs w:val="24"/>
              </w:rPr>
            </w:pPr>
          </w:p>
          <w:p w:rsidR="00F72A3A" w:rsidRPr="00BC1149" w:rsidRDefault="008C740C" w:rsidP="00E912B6">
            <w:pPr>
              <w:spacing w:before="120"/>
              <w:jc w:val="center"/>
              <w:rPr>
                <w:szCs w:val="24"/>
              </w:rPr>
            </w:pPr>
            <w:r w:rsidRPr="00BC1149">
              <w:rPr>
                <w:szCs w:val="24"/>
              </w:rPr>
              <w:t>2</w:t>
            </w:r>
          </w:p>
          <w:p w:rsidR="008C740C" w:rsidRPr="00BC1149" w:rsidRDefault="008C740C" w:rsidP="00E912B6">
            <w:pPr>
              <w:spacing w:before="120"/>
              <w:jc w:val="center"/>
              <w:rPr>
                <w:szCs w:val="24"/>
              </w:rPr>
            </w:pPr>
          </w:p>
          <w:p w:rsidR="008C740C" w:rsidRPr="00456001" w:rsidRDefault="008C740C" w:rsidP="00BC1149">
            <w:pPr>
              <w:jc w:val="center"/>
              <w:rPr>
                <w:i/>
                <w:szCs w:val="24"/>
              </w:rPr>
            </w:pPr>
          </w:p>
          <w:p w:rsidR="008C740C" w:rsidRPr="00456001" w:rsidRDefault="008C740C" w:rsidP="00E912B6">
            <w:pPr>
              <w:spacing w:before="120"/>
              <w:jc w:val="center"/>
              <w:rPr>
                <w:szCs w:val="24"/>
              </w:rPr>
            </w:pPr>
            <w:r w:rsidRPr="00456001">
              <w:t>1</w:t>
            </w:r>
          </w:p>
        </w:tc>
        <w:tc>
          <w:tcPr>
            <w:tcW w:w="5400" w:type="dxa"/>
          </w:tcPr>
          <w:p w:rsidR="00F72A3A" w:rsidRPr="004171EF" w:rsidRDefault="00F72A3A" w:rsidP="00E912B6">
            <w:pPr>
              <w:spacing w:before="120"/>
              <w:rPr>
                <w:szCs w:val="24"/>
              </w:rPr>
            </w:pPr>
          </w:p>
          <w:p w:rsidR="008C740C" w:rsidRPr="004171EF" w:rsidRDefault="008C740C" w:rsidP="00BC1149">
            <w:pPr>
              <w:spacing w:before="120"/>
              <w:rPr>
                <w:szCs w:val="24"/>
              </w:rPr>
            </w:pPr>
            <w:r w:rsidRPr="004171EF">
              <w:rPr>
                <w:szCs w:val="24"/>
              </w:rPr>
              <w:t xml:space="preserve">Work with Component to resolve best solutions, </w:t>
            </w:r>
            <w:r w:rsidRPr="004171EF">
              <w:rPr>
                <w:szCs w:val="24"/>
              </w:rPr>
              <w:lastRenderedPageBreak/>
              <w:t>resource requirements and schedule to transition to provisioned environment and close</w:t>
            </w:r>
          </w:p>
          <w:p w:rsidR="00456001" w:rsidRPr="00456001" w:rsidRDefault="00456001" w:rsidP="00E912B6">
            <w:pPr>
              <w:spacing w:before="120"/>
              <w:rPr>
                <w:sz w:val="10"/>
                <w:szCs w:val="10"/>
              </w:rPr>
            </w:pPr>
          </w:p>
          <w:p w:rsidR="00F72A3A" w:rsidRPr="00BC1149" w:rsidRDefault="008C740C" w:rsidP="00E912B6">
            <w:pPr>
              <w:spacing w:before="120"/>
              <w:rPr>
                <w:szCs w:val="24"/>
              </w:rPr>
            </w:pPr>
            <w:r w:rsidRPr="004171EF">
              <w:rPr>
                <w:szCs w:val="24"/>
              </w:rPr>
              <w:t>As Component wishes to stay in place, evaluate Component’s likelihood to meet all DCOI metric objectives</w:t>
            </w:r>
          </w:p>
        </w:tc>
      </w:tr>
      <w:tr w:rsidR="00F72A3A" w:rsidRPr="00A64197" w:rsidTr="008C740C">
        <w:tc>
          <w:tcPr>
            <w:tcW w:w="3240" w:type="dxa"/>
          </w:tcPr>
          <w:p w:rsidR="00F72A3A" w:rsidRPr="00A64197" w:rsidRDefault="00F72A3A" w:rsidP="00E912B6">
            <w:pPr>
              <w:spacing w:before="120"/>
            </w:pPr>
            <w:r w:rsidRPr="00A64197">
              <w:lastRenderedPageBreak/>
              <w:t>USCIS hosted TECC</w:t>
            </w:r>
          </w:p>
        </w:tc>
        <w:tc>
          <w:tcPr>
            <w:tcW w:w="900" w:type="dxa"/>
          </w:tcPr>
          <w:p w:rsidR="00F72A3A" w:rsidRPr="00A64197" w:rsidRDefault="00F72A3A" w:rsidP="00E912B6">
            <w:pPr>
              <w:spacing w:before="120"/>
              <w:jc w:val="center"/>
            </w:pPr>
            <w:r w:rsidRPr="00A64197">
              <w:t>1</w:t>
            </w:r>
          </w:p>
        </w:tc>
        <w:tc>
          <w:tcPr>
            <w:tcW w:w="5400" w:type="dxa"/>
          </w:tcPr>
          <w:p w:rsidR="00F72A3A" w:rsidRPr="00A64197" w:rsidRDefault="008C740C" w:rsidP="00E912B6">
            <w:pPr>
              <w:spacing w:before="120"/>
            </w:pPr>
            <w:r w:rsidRPr="00A64197">
              <w:t>Work with Component to resolve best solutions, resource requirements and schedule to transition to provisioned environment and close</w:t>
            </w:r>
          </w:p>
        </w:tc>
      </w:tr>
      <w:tr w:rsidR="00F72A3A" w:rsidRPr="003D1A37" w:rsidTr="008C740C">
        <w:tc>
          <w:tcPr>
            <w:tcW w:w="3240" w:type="dxa"/>
          </w:tcPr>
          <w:p w:rsidR="00F72A3A" w:rsidRPr="00A64197" w:rsidRDefault="00F72A3A" w:rsidP="00E912B6">
            <w:pPr>
              <w:spacing w:before="120"/>
            </w:pPr>
            <w:r w:rsidRPr="00A64197">
              <w:t>USSS hosted centers</w:t>
            </w:r>
          </w:p>
          <w:p w:rsidR="00F72A3A" w:rsidRPr="00A64197" w:rsidRDefault="00F72A3A" w:rsidP="00E912B6">
            <w:pPr>
              <w:pStyle w:val="ListParagraph"/>
              <w:numPr>
                <w:ilvl w:val="0"/>
                <w:numId w:val="36"/>
              </w:numPr>
              <w:spacing w:before="120"/>
            </w:pPr>
            <w:r w:rsidRPr="00A64197">
              <w:t>HQ</w:t>
            </w:r>
            <w:r w:rsidR="008C740C" w:rsidRPr="00A64197">
              <w:t xml:space="preserve"> and </w:t>
            </w:r>
            <w:r w:rsidRPr="00A64197">
              <w:t>SSE/Alternate Data Center</w:t>
            </w:r>
          </w:p>
        </w:tc>
        <w:tc>
          <w:tcPr>
            <w:tcW w:w="900" w:type="dxa"/>
          </w:tcPr>
          <w:p w:rsidR="008C740C" w:rsidRPr="00A64197" w:rsidRDefault="008C740C" w:rsidP="00E912B6">
            <w:pPr>
              <w:spacing w:before="120"/>
              <w:jc w:val="center"/>
            </w:pPr>
          </w:p>
          <w:p w:rsidR="00F72A3A" w:rsidRPr="00A64197" w:rsidRDefault="00F72A3A" w:rsidP="00E912B6">
            <w:pPr>
              <w:spacing w:before="120"/>
              <w:jc w:val="center"/>
            </w:pPr>
            <w:r w:rsidRPr="00A64197">
              <w:t>2</w:t>
            </w:r>
          </w:p>
        </w:tc>
        <w:tc>
          <w:tcPr>
            <w:tcW w:w="5400" w:type="dxa"/>
          </w:tcPr>
          <w:p w:rsidR="008C740C" w:rsidRPr="00A64197" w:rsidRDefault="008C740C" w:rsidP="00E912B6">
            <w:pPr>
              <w:spacing w:before="120"/>
            </w:pPr>
          </w:p>
          <w:p w:rsidR="00F72A3A" w:rsidRPr="00A64197" w:rsidRDefault="008C740C" w:rsidP="00E912B6">
            <w:pPr>
              <w:spacing w:before="120"/>
            </w:pPr>
            <w:r w:rsidRPr="00A64197">
              <w:t>As Component wishes to stay in place, evaluate Component’s likelihood to meet all DCOI metric objectives</w:t>
            </w:r>
          </w:p>
        </w:tc>
      </w:tr>
    </w:tbl>
    <w:p w:rsidR="00725762" w:rsidRPr="00E04ABD" w:rsidRDefault="00E912B6" w:rsidP="00E912B6">
      <w:pPr>
        <w:pStyle w:val="Heading2"/>
        <w:spacing w:before="120"/>
      </w:pPr>
      <w:bookmarkStart w:id="42" w:name="_Toc475636852"/>
      <w:r w:rsidRPr="00E04ABD">
        <w:t>Plan to Achieve</w:t>
      </w:r>
      <w:r w:rsidR="00C22BDA" w:rsidRPr="00E04ABD">
        <w:t xml:space="preserve"> Data Center </w:t>
      </w:r>
      <w:r w:rsidR="00725762" w:rsidRPr="00E04ABD">
        <w:t>Savings and Cost Avoidance</w:t>
      </w:r>
      <w:bookmarkEnd w:id="42"/>
    </w:p>
    <w:p w:rsidR="00C34172" w:rsidRPr="00A64197" w:rsidRDefault="00B561DB" w:rsidP="00E912B6">
      <w:pPr>
        <w:spacing w:before="120"/>
      </w:pPr>
      <w:r w:rsidRPr="00A64197">
        <w:rPr>
          <w:b/>
        </w:rPr>
        <w:t>S</w:t>
      </w:r>
      <w:r w:rsidR="00EE0737" w:rsidRPr="00A64197">
        <w:rPr>
          <w:b/>
        </w:rPr>
        <w:t>avings S</w:t>
      </w:r>
      <w:r w:rsidRPr="00A64197">
        <w:rPr>
          <w:b/>
        </w:rPr>
        <w:t>cope and Definitions</w:t>
      </w:r>
      <w:r w:rsidRPr="00A64197">
        <w:t xml:space="preserve">:  </w:t>
      </w:r>
      <w:r w:rsidR="00C34172" w:rsidRPr="00A64197">
        <w:t xml:space="preserve">OMB M-16-19 establishes a FY 2018 target to reduce annual costs attributable to physical data centers by at least 25% from the level of IT infrastructure spending submitted to the Federal IT Dashboard in FY 2016. </w:t>
      </w:r>
      <w:r w:rsidR="00C34172" w:rsidRPr="00A64197">
        <w:rPr>
          <w:rStyle w:val="FootnoteReference"/>
        </w:rPr>
        <w:footnoteReference w:id="59"/>
      </w:r>
    </w:p>
    <w:p w:rsidR="00B561DB" w:rsidRDefault="00C34172" w:rsidP="00E912B6">
      <w:pPr>
        <w:spacing w:before="120"/>
      </w:pPr>
      <w:r w:rsidRPr="00A64197">
        <w:rPr>
          <w:b/>
        </w:rPr>
        <w:t>Savings/Avoidance Plan and Schedule</w:t>
      </w:r>
      <w:r w:rsidRPr="00A64197">
        <w:t xml:space="preserve">:  </w:t>
      </w:r>
      <w:r w:rsidR="00456001">
        <w:t xml:space="preserve">It is unlikely that even substantial improvements in the performance of the 7 DHS tiered agency-owned </w:t>
      </w:r>
      <w:r w:rsidR="00792916">
        <w:t xml:space="preserve">data centers will substantially increase savings.  The inventory of facilities and the volume of operations is likely to small to generate sufficient changes in </w:t>
      </w:r>
      <w:proofErr w:type="gramStart"/>
      <w:r w:rsidR="00792916">
        <w:t>spend</w:t>
      </w:r>
      <w:proofErr w:type="gramEnd"/>
      <w:r w:rsidR="00792916">
        <w:t xml:space="preserve">.  However, DHS believes the greater opportunity to increase savings will result in the transition of data centers that are already considering this substantial business and operational change. There is not sufficient information, as of the date of this report, to project achievement of </w:t>
      </w:r>
      <w:r w:rsidR="00792916">
        <w:lastRenderedPageBreak/>
        <w:t>the OMB targets by FY2018 because of the hosting decisions that will have to be made and the resource considerations that will have to be resolved so that transition can move forward.  T</w:t>
      </w:r>
      <w:r w:rsidR="002251F8" w:rsidRPr="00A64197">
        <w:t>his plan</w:t>
      </w:r>
      <w:r w:rsidR="003B41F8" w:rsidRPr="00A64197">
        <w:t xml:space="preserve"> has a number of dependen</w:t>
      </w:r>
      <w:r w:rsidR="002251F8" w:rsidRPr="00A64197">
        <w:t>cies and conditions that</w:t>
      </w:r>
      <w:r w:rsidR="003B41F8" w:rsidRPr="00A64197">
        <w:t xml:space="preserve"> have been discussed in this s</w:t>
      </w:r>
      <w:r w:rsidR="00792916">
        <w:t>ection that can affect</w:t>
      </w:r>
      <w:r w:rsidR="003B41F8" w:rsidRPr="00A64197">
        <w:t xml:space="preserve"> the targets and the schedule</w:t>
      </w:r>
      <w:r w:rsidR="00792916">
        <w:t xml:space="preserve">.  </w:t>
      </w:r>
      <w:r w:rsidR="002251F8" w:rsidRPr="00A64197">
        <w:t xml:space="preserve">These are still being vetted within DHS. </w:t>
      </w:r>
      <w:r w:rsidR="003B41F8" w:rsidRPr="00A64197">
        <w:t>We will revisit this savings and avoidance plan in the April 2017 update of this strategy.</w:t>
      </w:r>
    </w:p>
    <w:p w:rsidR="00C63078" w:rsidRPr="00A64197" w:rsidRDefault="00C63078" w:rsidP="00C63078">
      <w:pPr>
        <w:pStyle w:val="Caption"/>
        <w:jc w:val="center"/>
      </w:pPr>
      <w:bookmarkStart w:id="43" w:name="_Toc475635612"/>
      <w:proofErr w:type="gramStart"/>
      <w:r>
        <w:t xml:space="preserve">Figure </w:t>
      </w:r>
      <w:fldSimple w:instr=" SEQ Figure \* ARABIC ">
        <w:r>
          <w:rPr>
            <w:noProof/>
          </w:rPr>
          <w:t>12</w:t>
        </w:r>
      </w:fldSimple>
      <w:r>
        <w:t>.</w:t>
      </w:r>
      <w:proofErr w:type="gramEnd"/>
      <w:r>
        <w:t xml:space="preserve"> FY2016 - FY2018 DCOI Savings and Avoidance</w:t>
      </w:r>
      <w:bookmarkEnd w:id="43"/>
    </w:p>
    <w:p w:rsidR="00B02149" w:rsidRPr="00EE0737" w:rsidRDefault="00C63078" w:rsidP="00E912B6">
      <w:pPr>
        <w:spacing w:before="120"/>
        <w:rPr>
          <w:highlight w:val="red"/>
        </w:rPr>
      </w:pPr>
      <w:r w:rsidRPr="00C63078">
        <w:rPr>
          <w:noProof/>
        </w:rPr>
        <w:drawing>
          <wp:inline distT="0" distB="0" distL="0" distR="0" wp14:anchorId="4B1EB602" wp14:editId="743959B1">
            <wp:extent cx="6146800" cy="236834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6800" cy="2368348"/>
                    </a:xfrm>
                    <a:prstGeom prst="rect">
                      <a:avLst/>
                    </a:prstGeom>
                    <a:noFill/>
                    <a:ln>
                      <a:noFill/>
                    </a:ln>
                  </pic:spPr>
                </pic:pic>
              </a:graphicData>
            </a:graphic>
          </wp:inline>
        </w:drawing>
      </w:r>
    </w:p>
    <w:p w:rsidR="005A1AFD" w:rsidRPr="003B41F8" w:rsidRDefault="005A1AFD" w:rsidP="00E912B6">
      <w:pPr>
        <w:pStyle w:val="Heading1"/>
        <w:spacing w:before="120" w:after="120"/>
      </w:pPr>
      <w:bookmarkStart w:id="44" w:name="_Toc475636853"/>
      <w:r w:rsidRPr="003B41F8">
        <w:t>Conclusion</w:t>
      </w:r>
      <w:bookmarkEnd w:id="44"/>
    </w:p>
    <w:p w:rsidR="006C05C9" w:rsidRPr="003B41F8" w:rsidRDefault="006C05C9" w:rsidP="00E912B6">
      <w:pPr>
        <w:spacing w:before="120"/>
      </w:pPr>
      <w:r w:rsidRPr="003B41F8">
        <w:rPr>
          <w:color w:val="231F20"/>
          <w:spacing w:val="-2"/>
        </w:rPr>
        <w:t xml:space="preserve">To achieve the </w:t>
      </w:r>
      <w:r w:rsidR="004B3412" w:rsidRPr="003B41F8">
        <w:rPr>
          <w:color w:val="231F20"/>
          <w:spacing w:val="-2"/>
        </w:rPr>
        <w:t>DHS ECS</w:t>
      </w:r>
      <w:r w:rsidRPr="003B41F8">
        <w:rPr>
          <w:color w:val="231F20"/>
          <w:spacing w:val="-2"/>
        </w:rPr>
        <w:t xml:space="preserve"> goals, all barriers to adoption and transition must be addressed without major delay. The DHS CIO, or delegations, will be the final decision authority and will provide oversight for execution of </w:t>
      </w:r>
      <w:r w:rsidR="004B3412" w:rsidRPr="003B41F8">
        <w:rPr>
          <w:color w:val="231F20"/>
          <w:spacing w:val="-2"/>
        </w:rPr>
        <w:t>DHS ECS</w:t>
      </w:r>
      <w:r w:rsidRPr="003B41F8">
        <w:rPr>
          <w:color w:val="231F20"/>
          <w:spacing w:val="-2"/>
        </w:rPr>
        <w:t xml:space="preserve">, exercising appropriate governance to ensure an efficient orchestration of change, and </w:t>
      </w:r>
      <w:r w:rsidRPr="003B41F8">
        <w:rPr>
          <w:color w:val="231F20"/>
          <w:spacing w:val="-1"/>
        </w:rPr>
        <w:t>highly</w:t>
      </w:r>
      <w:r w:rsidRPr="003B41F8">
        <w:rPr>
          <w:color w:val="231F20"/>
        </w:rPr>
        <w:t xml:space="preserve"> </w:t>
      </w:r>
      <w:r w:rsidRPr="003B41F8">
        <w:rPr>
          <w:color w:val="231F20"/>
          <w:spacing w:val="-1"/>
        </w:rPr>
        <w:t xml:space="preserve">adaptive </w:t>
      </w:r>
      <w:r w:rsidRPr="003B41F8">
        <w:rPr>
          <w:color w:val="231F20"/>
        </w:rPr>
        <w:t>capabilities</w:t>
      </w:r>
      <w:r w:rsidRPr="003B41F8">
        <w:rPr>
          <w:color w:val="231F20"/>
          <w:spacing w:val="25"/>
        </w:rPr>
        <w:t xml:space="preserve"> </w:t>
      </w:r>
      <w:r w:rsidRPr="003B41F8">
        <w:rPr>
          <w:color w:val="231F20"/>
        </w:rPr>
        <w:t>that</w:t>
      </w:r>
      <w:r w:rsidRPr="003B41F8">
        <w:rPr>
          <w:color w:val="231F20"/>
          <w:spacing w:val="-3"/>
        </w:rPr>
        <w:t xml:space="preserve"> </w:t>
      </w:r>
      <w:r w:rsidRPr="003B41F8">
        <w:rPr>
          <w:color w:val="231F20"/>
          <w:spacing w:val="-1"/>
        </w:rPr>
        <w:t>must</w:t>
      </w:r>
      <w:r w:rsidRPr="003B41F8">
        <w:rPr>
          <w:color w:val="231F20"/>
          <w:spacing w:val="-3"/>
        </w:rPr>
        <w:t xml:space="preserve"> </w:t>
      </w:r>
      <w:r w:rsidRPr="003B41F8">
        <w:rPr>
          <w:color w:val="231F20"/>
        </w:rPr>
        <w:t>remain</w:t>
      </w:r>
      <w:r w:rsidRPr="003B41F8">
        <w:rPr>
          <w:color w:val="231F20"/>
          <w:spacing w:val="-3"/>
        </w:rPr>
        <w:t xml:space="preserve"> </w:t>
      </w:r>
      <w:r w:rsidRPr="003B41F8">
        <w:rPr>
          <w:color w:val="231F20"/>
        </w:rPr>
        <w:t>within</w:t>
      </w:r>
      <w:r w:rsidRPr="003B41F8">
        <w:rPr>
          <w:color w:val="231F20"/>
          <w:spacing w:val="-3"/>
        </w:rPr>
        <w:t xml:space="preserve"> </w:t>
      </w:r>
      <w:r w:rsidRPr="003B41F8">
        <w:rPr>
          <w:color w:val="231F20"/>
          <w:spacing w:val="-1"/>
        </w:rPr>
        <w:t>the</w:t>
      </w:r>
      <w:r w:rsidRPr="003B41F8">
        <w:rPr>
          <w:color w:val="231F20"/>
          <w:spacing w:val="-2"/>
        </w:rPr>
        <w:t xml:space="preserve"> </w:t>
      </w:r>
      <w:r w:rsidRPr="003B41F8">
        <w:rPr>
          <w:color w:val="231F20"/>
        </w:rPr>
        <w:t>physical</w:t>
      </w:r>
      <w:r w:rsidRPr="003B41F8">
        <w:rPr>
          <w:color w:val="231F20"/>
          <w:spacing w:val="-3"/>
        </w:rPr>
        <w:t xml:space="preserve"> </w:t>
      </w:r>
      <w:r w:rsidRPr="003B41F8">
        <w:rPr>
          <w:color w:val="231F20"/>
        </w:rPr>
        <w:t>and</w:t>
      </w:r>
      <w:r w:rsidRPr="003B41F8">
        <w:rPr>
          <w:color w:val="231F20"/>
          <w:spacing w:val="-3"/>
        </w:rPr>
        <w:t xml:space="preserve"> </w:t>
      </w:r>
      <w:r w:rsidRPr="003B41F8">
        <w:rPr>
          <w:color w:val="231F20"/>
          <w:spacing w:val="-1"/>
        </w:rPr>
        <w:t>operational</w:t>
      </w:r>
      <w:r w:rsidRPr="003B41F8">
        <w:rPr>
          <w:color w:val="231F20"/>
          <w:spacing w:val="-2"/>
        </w:rPr>
        <w:t xml:space="preserve"> </w:t>
      </w:r>
      <w:r w:rsidRPr="003B41F8">
        <w:rPr>
          <w:color w:val="231F20"/>
          <w:spacing w:val="-1"/>
        </w:rPr>
        <w:t>control of</w:t>
      </w:r>
      <w:r w:rsidRPr="003B41F8">
        <w:rPr>
          <w:color w:val="231F20"/>
          <w:spacing w:val="-3"/>
        </w:rPr>
        <w:t xml:space="preserve"> </w:t>
      </w:r>
      <w:r w:rsidRPr="003B41F8">
        <w:rPr>
          <w:color w:val="231F20"/>
          <w:spacing w:val="-1"/>
        </w:rPr>
        <w:t>the</w:t>
      </w:r>
      <w:r w:rsidRPr="003B41F8">
        <w:rPr>
          <w:color w:val="231F20"/>
          <w:spacing w:val="-2"/>
        </w:rPr>
        <w:t xml:space="preserve"> </w:t>
      </w:r>
      <w:r w:rsidRPr="003B41F8">
        <w:rPr>
          <w:color w:val="231F20"/>
        </w:rPr>
        <w:t xml:space="preserve">Department.  </w:t>
      </w:r>
      <w:r w:rsidRPr="003B41F8">
        <w:t xml:space="preserve">Simultaneously, the DHS and its component’s will continue rationalization of existing systems, applications and data sources while determining the most appropriate cloud service / deployment models for migration.  DHS intends to rapidly capitalize on </w:t>
      </w:r>
      <w:proofErr w:type="spellStart"/>
      <w:r w:rsidRPr="003B41F8">
        <w:t>FedRAMP</w:t>
      </w:r>
      <w:proofErr w:type="spellEnd"/>
      <w:r w:rsidRPr="003B41F8">
        <w:t xml:space="preserve"> and DHS-approved government and commercial cloud providers to the maximum extent possible to reduce sustainment and operating costs, shorten implementation timelines, more effectively keep pace with emerging technologies, and allow the DHS to take advantage of the larger economies of scale that typically lower costs.</w:t>
      </w:r>
    </w:p>
    <w:p w:rsidR="00F84F58" w:rsidRPr="00F84F58" w:rsidRDefault="00F84F58" w:rsidP="00E912B6">
      <w:pPr>
        <w:spacing w:before="120"/>
      </w:pPr>
      <w:r w:rsidRPr="003B41F8">
        <w:t xml:space="preserve">This strategy is intended to drive the Department toward changes required to dramatically improve the delivery and operation of IT, via </w:t>
      </w:r>
      <w:r w:rsidR="004B3412" w:rsidRPr="003B41F8">
        <w:t>DHS ECS</w:t>
      </w:r>
      <w:r w:rsidRPr="003B41F8">
        <w:t>, that provides tangible benefits to the DHS community. The Depa</w:t>
      </w:r>
      <w:r w:rsidR="004B3412" w:rsidRPr="003B41F8">
        <w:t>rtment’s approach to deliver this</w:t>
      </w:r>
      <w:r w:rsidRPr="003B41F8">
        <w:t xml:space="preserve"> strategy will require strong governance authority and continued commitment to greater transparency through regular and open reporting. To achieve the </w:t>
      </w:r>
      <w:r w:rsidR="004B3412" w:rsidRPr="003B41F8">
        <w:t>DHS ECS goals</w:t>
      </w:r>
      <w:r w:rsidRPr="003B41F8">
        <w:t>, all barriers to consolidation and transition must be addressed without major delay. Governance must ensure mechanisms are in place to coordinate enterprise activities across the Department.</w:t>
      </w:r>
      <w:r w:rsidRPr="00F84F58">
        <w:t xml:space="preserve"> </w:t>
      </w:r>
    </w:p>
    <w:sectPr w:rsidR="00F84F58" w:rsidRPr="00F84F58" w:rsidSect="00B84E45">
      <w:headerReference w:type="even" r:id="rId34"/>
      <w:headerReference w:type="default" r:id="rId35"/>
      <w:footerReference w:type="default" r:id="rId36"/>
      <w:headerReference w:type="first" r:id="rId37"/>
      <w:pgSz w:w="12240" w:h="15840"/>
      <w:pgMar w:top="1460" w:right="1280" w:bottom="980" w:left="1280" w:header="0" w:footer="7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D7" w:rsidRDefault="00CB04D7" w:rsidP="0022654F">
      <w:r>
        <w:separator/>
      </w:r>
    </w:p>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endnote>
  <w:endnote w:type="continuationSeparator" w:id="0">
    <w:p w:rsidR="00CB04D7" w:rsidRDefault="00CB04D7" w:rsidP="0022654F">
      <w:r>
        <w:continuationSeparator/>
      </w:r>
    </w:p>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endnote>
  <w:endnote w:type="continuationNotice" w:id="1">
    <w:p w:rsidR="00CB04D7" w:rsidRDefault="00CB0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68" w:rsidRDefault="00C20C68">
    <w:pPr>
      <w:spacing w:line="14" w:lineRule="auto"/>
      <w:rPr>
        <w:sz w:val="20"/>
      </w:rPr>
    </w:pPr>
    <w:r w:rsidRPr="00661E07">
      <w:rPr>
        <w:sz w:val="20"/>
      </w:rPr>
      <w:ptab w:relativeTo="margin" w:alignment="center" w:leader="none"/>
    </w:r>
    <w:r w:rsidRPr="00661E07">
      <w:rPr>
        <w:sz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05676"/>
      <w:docPartObj>
        <w:docPartGallery w:val="Page Numbers (Bottom of Page)"/>
        <w:docPartUnique/>
      </w:docPartObj>
    </w:sdtPr>
    <w:sdtEndPr>
      <w:rPr>
        <w:noProof/>
      </w:rPr>
    </w:sdtEndPr>
    <w:sdtContent>
      <w:p w:rsidR="00C20C68" w:rsidRDefault="00C20C68">
        <w:pPr>
          <w:pStyle w:val="Footer"/>
          <w:jc w:val="right"/>
        </w:pPr>
        <w:r>
          <w:fldChar w:fldCharType="begin"/>
        </w:r>
        <w:r>
          <w:instrText xml:space="preserve"> PAGE   \* MERGEFORMAT </w:instrText>
        </w:r>
        <w:r>
          <w:fldChar w:fldCharType="separate"/>
        </w:r>
        <w:r w:rsidR="00E04ABD">
          <w:rPr>
            <w:noProof/>
          </w:rPr>
          <w:t>1</w:t>
        </w:r>
        <w:r>
          <w:rPr>
            <w:noProof/>
          </w:rPr>
          <w:fldChar w:fldCharType="end"/>
        </w:r>
      </w:p>
    </w:sdtContent>
  </w:sdt>
  <w:p w:rsidR="00C20C68" w:rsidRPr="00CE2B5F" w:rsidRDefault="00C20C68" w:rsidP="00CE2B5F">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D7" w:rsidRDefault="00CB04D7" w:rsidP="0022654F">
      <w:r>
        <w:separator/>
      </w:r>
    </w:p>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footnote>
  <w:footnote w:type="continuationSeparator" w:id="0">
    <w:p w:rsidR="00CB04D7" w:rsidRDefault="00CB04D7" w:rsidP="0022654F">
      <w:r>
        <w:continuationSeparator/>
      </w:r>
    </w:p>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p w:rsidR="00CB04D7" w:rsidRDefault="00CB04D7" w:rsidP="0022654F"/>
  </w:footnote>
  <w:footnote w:type="continuationNotice" w:id="1">
    <w:p w:rsidR="00CB04D7" w:rsidRDefault="00CB04D7">
      <w:pPr>
        <w:spacing w:after="0"/>
      </w:pPr>
    </w:p>
  </w:footnote>
  <w:footnote w:id="2">
    <w:p w:rsidR="00C20C68" w:rsidRDefault="00C20C68">
      <w:pPr>
        <w:pStyle w:val="FootnoteText"/>
      </w:pPr>
      <w:r>
        <w:rPr>
          <w:rStyle w:val="FootnoteReference"/>
        </w:rPr>
        <w:footnoteRef/>
      </w:r>
      <w:r>
        <w:t xml:space="preserve"> Title VIII, Subtitle D of the National Defense Authorization Act (NDAA) for Fiscal Year 2015, Pub. L. No. 113-291.  See Section 834(b</w:t>
      </w:r>
      <w:proofErr w:type="gramStart"/>
      <w:r>
        <w:t>)(</w:t>
      </w:r>
      <w:proofErr w:type="gramEnd"/>
      <w:r>
        <w:t>1)(A)-(E).</w:t>
      </w:r>
    </w:p>
  </w:footnote>
  <w:footnote w:id="3">
    <w:p w:rsidR="00C20C68" w:rsidRDefault="00C20C68">
      <w:pPr>
        <w:pStyle w:val="FootnoteText"/>
      </w:pPr>
      <w:r>
        <w:rPr>
          <w:rStyle w:val="FootnoteReference"/>
        </w:rPr>
        <w:footnoteRef/>
      </w:r>
      <w:r>
        <w:t xml:space="preserve"> OMB Memorandum M-16-19, “Data Center Optimization Initiative (DCOI),” August 1, 2016, page 10, </w:t>
      </w:r>
      <w:hyperlink r:id="rId1" w:history="1">
        <w:r w:rsidRPr="00212BCC">
          <w:rPr>
            <w:rStyle w:val="Hyperlink"/>
          </w:rPr>
          <w:t>https://www.whitehouse.gov/sites/default/files/omb/memoranda/2016/m_16_19_1.pdf</w:t>
        </w:r>
      </w:hyperlink>
    </w:p>
  </w:footnote>
  <w:footnote w:id="4">
    <w:p w:rsidR="00C20C68" w:rsidRDefault="00C20C68">
      <w:pPr>
        <w:pStyle w:val="FootnoteText"/>
      </w:pPr>
      <w:r>
        <w:rPr>
          <w:rStyle w:val="FootnoteReference"/>
        </w:rPr>
        <w:footnoteRef/>
      </w:r>
      <w:r>
        <w:t xml:space="preserve"> Ibid Footnote 1.  </w:t>
      </w:r>
    </w:p>
  </w:footnote>
  <w:footnote w:id="5">
    <w:p w:rsidR="00C20C68" w:rsidRDefault="00C20C68">
      <w:pPr>
        <w:pStyle w:val="FootnoteText"/>
      </w:pPr>
      <w:r>
        <w:rPr>
          <w:rStyle w:val="FootnoteReference"/>
        </w:rPr>
        <w:footnoteRef/>
      </w:r>
      <w:r>
        <w:t xml:space="preserve"> </w:t>
      </w:r>
      <w:proofErr w:type="gramStart"/>
      <w:r>
        <w:t xml:space="preserve">OMB Memorandum M-15-14, “Management and Oversight of Federal Information Technology,” June 10, 2015, </w:t>
      </w:r>
      <w:r>
        <w:rPr>
          <w:color w:val="0000FF"/>
        </w:rPr>
        <w:t>https://www.whitehouse.gov/sites/default/files/omb/memoranda/2015/m-15-14.pdf</w:t>
      </w:r>
      <w:r>
        <w:t>.</w:t>
      </w:r>
      <w:proofErr w:type="gramEnd"/>
      <w:r>
        <w:t xml:space="preserve">  </w:t>
      </w:r>
    </w:p>
  </w:footnote>
  <w:footnote w:id="6">
    <w:p w:rsidR="00C20C68" w:rsidRDefault="00C20C68">
      <w:pPr>
        <w:pStyle w:val="FootnoteText"/>
      </w:pPr>
      <w:r>
        <w:rPr>
          <w:rStyle w:val="FootnoteReference"/>
        </w:rPr>
        <w:footnoteRef/>
      </w:r>
      <w:r>
        <w:t xml:space="preserve"> Ibid Footnote 2, page 2. </w:t>
      </w:r>
    </w:p>
  </w:footnote>
  <w:footnote w:id="7">
    <w:p w:rsidR="00C20C68" w:rsidRDefault="00C20C68">
      <w:pPr>
        <w:pStyle w:val="FootnoteText"/>
      </w:pPr>
      <w:r>
        <w:rPr>
          <w:rStyle w:val="FootnoteReference"/>
        </w:rPr>
        <w:footnoteRef/>
      </w:r>
      <w:r>
        <w:t xml:space="preserve"> Ibid Footnote 2, page 10.</w:t>
      </w:r>
    </w:p>
  </w:footnote>
  <w:footnote w:id="8">
    <w:p w:rsidR="00C20C68" w:rsidRDefault="00C20C68" w:rsidP="0018071F">
      <w:pPr>
        <w:pStyle w:val="FootnoteText"/>
      </w:pPr>
      <w:r>
        <w:rPr>
          <w:rStyle w:val="FootnoteReference"/>
        </w:rPr>
        <w:footnoteRef/>
      </w:r>
      <w:r>
        <w:t xml:space="preserve"> Next-Generation Convergence is the Future of Cloud and Data Center, Data Center Knowledge, February 11, 2016, </w:t>
      </w:r>
      <w:r w:rsidRPr="00DE7A95">
        <w:t>http://www.datacenterknowledge.com/archives/2016/02/11/future-of-cloud-and-data-center-next-gen-convergence/</w:t>
      </w:r>
    </w:p>
  </w:footnote>
  <w:footnote w:id="9">
    <w:p w:rsidR="00C20C68" w:rsidRPr="00CA1E0F" w:rsidRDefault="00C20C68" w:rsidP="00CA1E0F">
      <w:pPr>
        <w:pStyle w:val="FootnoteText"/>
        <w:spacing w:after="0"/>
      </w:pPr>
      <w:r w:rsidRPr="00CA1E0F">
        <w:rPr>
          <w:rStyle w:val="FootnoteReference"/>
        </w:rPr>
        <w:footnoteRef/>
      </w:r>
      <w:r w:rsidRPr="00CA1E0F">
        <w:t xml:space="preserve"> </w:t>
      </w:r>
      <w:proofErr w:type="spellStart"/>
      <w:r w:rsidRPr="00CA1E0F">
        <w:rPr>
          <w:rStyle w:val="reference-text"/>
          <w:lang w:val="en"/>
        </w:rPr>
        <w:t>Whiteley</w:t>
      </w:r>
      <w:proofErr w:type="spellEnd"/>
      <w:r w:rsidRPr="00CA1E0F">
        <w:rPr>
          <w:rStyle w:val="reference-text"/>
          <w:lang w:val="en"/>
        </w:rPr>
        <w:t xml:space="preserve">, Robert. </w:t>
      </w:r>
      <w:proofErr w:type="gramStart"/>
      <w:r w:rsidRPr="00B64862">
        <w:rPr>
          <w:rStyle w:val="reference-text"/>
          <w:lang w:val="en"/>
        </w:rPr>
        <w:t>Research.</w:t>
      </w:r>
      <w:proofErr w:type="gramEnd"/>
      <w:r w:rsidRPr="00B64862">
        <w:rPr>
          <w:rStyle w:val="reference-text"/>
          <w:lang w:val="en"/>
        </w:rPr>
        <w:t xml:space="preserve"> “Your</w:t>
      </w:r>
      <w:r w:rsidRPr="00CA1E0F">
        <w:rPr>
          <w:rStyle w:val="reference-text"/>
          <w:lang w:val="en"/>
        </w:rPr>
        <w:t xml:space="preserve"> Next IT Budget: 6 Ways to Support Business Growth</w:t>
      </w:r>
      <w:r w:rsidRPr="00B64862">
        <w:rPr>
          <w:rStyle w:val="reference-text"/>
          <w:lang w:val="en"/>
        </w:rPr>
        <w:t xml:space="preserve">," </w:t>
      </w:r>
      <w:hyperlink r:id="rId2" w:history="1">
        <w:r w:rsidRPr="00B64862">
          <w:rPr>
            <w:rStyle w:val="Hyperlink"/>
            <w:i/>
            <w:iCs/>
            <w:color w:val="auto"/>
            <w:lang w:val="en"/>
          </w:rPr>
          <w:t>CIO Magazine</w:t>
        </w:r>
      </w:hyperlink>
      <w:r w:rsidRPr="00B64862">
        <w:rPr>
          <w:rStyle w:val="reference-text"/>
          <w:lang w:val="en"/>
        </w:rPr>
        <w:t xml:space="preserve">, </w:t>
      </w:r>
      <w:r w:rsidRPr="00CA1E0F">
        <w:rPr>
          <w:rStyle w:val="reference-text"/>
          <w:lang w:val="en"/>
        </w:rPr>
        <w:t>July 21, 2010</w:t>
      </w:r>
    </w:p>
  </w:footnote>
  <w:footnote w:id="10">
    <w:p w:rsidR="00C20C68" w:rsidRPr="00CA1E0F" w:rsidRDefault="00C20C68" w:rsidP="00CA1E0F">
      <w:pPr>
        <w:pStyle w:val="FootnoteText"/>
        <w:spacing w:after="0"/>
      </w:pPr>
      <w:r w:rsidRPr="00CA1E0F">
        <w:rPr>
          <w:rStyle w:val="FootnoteReference"/>
        </w:rPr>
        <w:footnoteRef/>
      </w:r>
      <w:r w:rsidRPr="00CA1E0F">
        <w:t xml:space="preserve"> </w:t>
      </w:r>
      <w:r w:rsidRPr="00CA1E0F">
        <w:rPr>
          <w:rStyle w:val="reference-text"/>
          <w:lang w:val="en"/>
        </w:rPr>
        <w:t xml:space="preserve">Davis, Jessica. "Pivot3 Offers Converged Storage Platform to Data Protection Market," </w:t>
      </w:r>
      <w:proofErr w:type="spellStart"/>
      <w:r w:rsidRPr="00B64862">
        <w:rPr>
          <w:rStyle w:val="reference-text"/>
          <w:i/>
          <w:u w:val="single"/>
          <w:lang w:val="en"/>
        </w:rPr>
        <w:t>ChannelInsider</w:t>
      </w:r>
      <w:proofErr w:type="spellEnd"/>
      <w:r w:rsidRPr="00CA1E0F">
        <w:rPr>
          <w:rStyle w:val="reference-text"/>
          <w:lang w:val="en"/>
        </w:rPr>
        <w:t>, September 30, 2010</w:t>
      </w:r>
    </w:p>
  </w:footnote>
  <w:footnote w:id="11">
    <w:p w:rsidR="00C20C68" w:rsidRPr="00CA1E0F" w:rsidRDefault="00C20C68" w:rsidP="00CA1E0F">
      <w:pPr>
        <w:pStyle w:val="FootnoteText"/>
        <w:spacing w:after="0"/>
      </w:pPr>
      <w:r w:rsidRPr="00CA1E0F">
        <w:rPr>
          <w:rStyle w:val="FootnoteReference"/>
        </w:rPr>
        <w:footnoteRef/>
      </w:r>
      <w:r w:rsidRPr="00CA1E0F">
        <w:t xml:space="preserve"> </w:t>
      </w:r>
      <w:r w:rsidRPr="00B64862">
        <w:rPr>
          <w:rStyle w:val="reference-text"/>
          <w:u w:val="single"/>
          <w:lang w:val="en"/>
        </w:rPr>
        <w:t>Converged Infrastructure Tak</w:t>
      </w:r>
      <w:r>
        <w:rPr>
          <w:rStyle w:val="reference-text"/>
          <w:u w:val="single"/>
          <w:lang w:val="en"/>
        </w:rPr>
        <w:t xml:space="preserve">es the Market by Storm, </w:t>
      </w:r>
      <w:proofErr w:type="spellStart"/>
      <w:r>
        <w:rPr>
          <w:rStyle w:val="reference-text"/>
          <w:u w:val="single"/>
          <w:lang w:val="en"/>
        </w:rPr>
        <w:t>Wikibon</w:t>
      </w:r>
      <w:proofErr w:type="spellEnd"/>
      <w:r>
        <w:rPr>
          <w:rStyle w:val="reference-text"/>
          <w:u w:val="single"/>
          <w:lang w:val="en"/>
        </w:rPr>
        <w:t>, August 12, 2012,</w:t>
      </w:r>
      <w:r w:rsidRPr="00B64862">
        <w:rPr>
          <w:rStyle w:val="reference-text"/>
          <w:u w:val="single"/>
          <w:lang w:val="en"/>
        </w:rPr>
        <w:t xml:space="preserve">, </w:t>
      </w:r>
      <w:hyperlink r:id="rId3" w:history="1">
        <w:r w:rsidRPr="008A2B80">
          <w:rPr>
            <w:rStyle w:val="Hyperlink"/>
            <w:lang w:val="en"/>
          </w:rPr>
          <w:t>http://wikibon.org/wiki/v/Converged_Infrastructure_Takes_the_Market_by_Storm</w:t>
        </w:r>
      </w:hyperlink>
      <w:r>
        <w:rPr>
          <w:rStyle w:val="reference-text"/>
          <w:lang w:val="en"/>
        </w:rPr>
        <w:t xml:space="preserve"> </w:t>
      </w:r>
    </w:p>
  </w:footnote>
  <w:footnote w:id="12">
    <w:p w:rsidR="00C20C68" w:rsidRPr="00CA1E0F" w:rsidRDefault="00C20C68" w:rsidP="00CA1E0F">
      <w:pPr>
        <w:pStyle w:val="FootnoteText"/>
        <w:spacing w:after="0"/>
      </w:pPr>
      <w:r w:rsidRPr="00CA1E0F">
        <w:rPr>
          <w:rStyle w:val="FootnoteReference"/>
        </w:rPr>
        <w:footnoteRef/>
      </w:r>
      <w:r w:rsidRPr="00CA1E0F">
        <w:t xml:space="preserve"> </w:t>
      </w:r>
      <w:r w:rsidRPr="00CA1E0F">
        <w:rPr>
          <w:rStyle w:val="reference-text"/>
          <w:lang w:val="en"/>
        </w:rPr>
        <w:t>Crump, George. "Why 'Unified' Is The Hot New Idea For Data Centers,"</w:t>
      </w:r>
      <w:r w:rsidRPr="00B64862">
        <w:rPr>
          <w:rStyle w:val="reference-text"/>
          <w:lang w:val="en"/>
        </w:rPr>
        <w:t xml:space="preserve"> </w:t>
      </w:r>
      <w:hyperlink r:id="rId4" w:history="1">
        <w:r w:rsidRPr="00B64862">
          <w:rPr>
            <w:rStyle w:val="Hyperlink"/>
            <w:i/>
            <w:color w:val="auto"/>
            <w:lang w:val="en"/>
          </w:rPr>
          <w:t>InformationWeek</w:t>
        </w:r>
      </w:hyperlink>
      <w:r w:rsidRPr="00CA1E0F">
        <w:rPr>
          <w:rStyle w:val="reference-text"/>
          <w:lang w:val="en"/>
        </w:rPr>
        <w:t>, March 14, 2009</w:t>
      </w:r>
    </w:p>
  </w:footnote>
  <w:footnote w:id="13">
    <w:p w:rsidR="00C20C68" w:rsidRDefault="00C20C68" w:rsidP="006E33C8">
      <w:pPr>
        <w:pStyle w:val="FootnoteText"/>
        <w:spacing w:after="0"/>
      </w:pPr>
      <w:r>
        <w:rPr>
          <w:rStyle w:val="FootnoteReference"/>
        </w:rPr>
        <w:footnoteRef/>
      </w:r>
      <w:r>
        <w:t xml:space="preserve"> Ibid Footnote 2.</w:t>
      </w:r>
    </w:p>
  </w:footnote>
  <w:footnote w:id="14">
    <w:p w:rsidR="00C20C68" w:rsidRPr="005E5AAE" w:rsidRDefault="00C20C68" w:rsidP="006E33C8">
      <w:pPr>
        <w:pStyle w:val="Default"/>
        <w:rPr>
          <w:rFonts w:ascii="Times New Roman" w:hAnsi="Times New Roman" w:cs="Times New Roman"/>
        </w:rPr>
      </w:pPr>
      <w:r w:rsidRPr="006E33C8">
        <w:rPr>
          <w:rStyle w:val="FootnoteReference"/>
          <w:rFonts w:ascii="Times New Roman" w:hAnsi="Times New Roman"/>
          <w:color w:val="auto"/>
          <w:sz w:val="20"/>
          <w:szCs w:val="20"/>
        </w:rPr>
        <w:footnoteRef/>
      </w:r>
      <w:r w:rsidRPr="006E33C8">
        <w:rPr>
          <w:rStyle w:val="FootnoteReference"/>
          <w:rFonts w:ascii="Times New Roman" w:hAnsi="Times New Roman"/>
          <w:color w:val="auto"/>
          <w:sz w:val="20"/>
          <w:szCs w:val="20"/>
        </w:rPr>
        <w:t xml:space="preserve"> </w:t>
      </w:r>
      <w:r w:rsidRPr="005E5AAE">
        <w:rPr>
          <w:rFonts w:ascii="Times New Roman" w:hAnsi="Times New Roman" w:cs="Times New Roman"/>
          <w:sz w:val="20"/>
          <w:szCs w:val="20"/>
        </w:rPr>
        <w:t>Title VIII, Subtitle D of the National Defense Authorization Act (NDAA) for Fiscal Year 2015, Pub. L. No. 113-291.</w:t>
      </w:r>
      <w:r w:rsidRPr="005E5AAE">
        <w:t xml:space="preserve">  </w:t>
      </w:r>
    </w:p>
  </w:footnote>
  <w:footnote w:id="15">
    <w:p w:rsidR="00C20C68" w:rsidRDefault="00C20C68" w:rsidP="00AD0D2A">
      <w:pPr>
        <w:pStyle w:val="FootnoteText"/>
        <w:spacing w:after="0"/>
      </w:pPr>
      <w:r>
        <w:rPr>
          <w:rStyle w:val="FootnoteReference"/>
        </w:rPr>
        <w:footnoteRef/>
      </w:r>
      <w:r>
        <w:t xml:space="preserve">  </w:t>
      </w:r>
      <w:hyperlink r:id="rId5" w:history="1">
        <w:r w:rsidRPr="008A2B80">
          <w:rPr>
            <w:rStyle w:val="Hyperlink"/>
          </w:rPr>
          <w:t>https://www.whitehouse.gov/sites/default/files/omb/assets/egov_docs/shared_services_strategy.pdf</w:t>
        </w:r>
      </w:hyperlink>
      <w:r>
        <w:t xml:space="preserve">. </w:t>
      </w:r>
    </w:p>
  </w:footnote>
  <w:footnote w:id="16">
    <w:p w:rsidR="00C20C68" w:rsidRDefault="00C20C68" w:rsidP="00AD0D2A">
      <w:pPr>
        <w:pStyle w:val="FootnoteText"/>
        <w:spacing w:after="0"/>
      </w:pPr>
      <w:r>
        <w:rPr>
          <w:rStyle w:val="FootnoteReference"/>
        </w:rPr>
        <w:footnoteRef/>
      </w:r>
      <w:r>
        <w:t xml:space="preserve">  </w:t>
      </w:r>
      <w:r w:rsidRPr="00846A93">
        <w:t>https://www.dhs.gov/sites/default/files/publications/digital-strategy/25-point-implementation-plan-to-reform-federal-it.pdf</w:t>
      </w:r>
    </w:p>
  </w:footnote>
  <w:footnote w:id="17">
    <w:p w:rsidR="00C20C68" w:rsidRDefault="00C20C68" w:rsidP="00AD0D2A">
      <w:pPr>
        <w:pStyle w:val="FootnoteText"/>
        <w:spacing w:after="0"/>
      </w:pPr>
      <w:r>
        <w:rPr>
          <w:rStyle w:val="FootnoteReference"/>
        </w:rPr>
        <w:footnoteRef/>
      </w:r>
      <w:r>
        <w:t xml:space="preserve"> </w:t>
      </w:r>
      <w:r w:rsidRPr="00846A93">
        <w:t>https://www.fedramp.gov/about-us/about/</w:t>
      </w:r>
    </w:p>
  </w:footnote>
  <w:footnote w:id="18">
    <w:p w:rsidR="00C20C68" w:rsidRDefault="00C20C68" w:rsidP="00AD0D2A">
      <w:pPr>
        <w:pStyle w:val="FootnoteText"/>
        <w:spacing w:after="0"/>
      </w:pPr>
      <w:r>
        <w:rPr>
          <w:rStyle w:val="FootnoteReference"/>
        </w:rPr>
        <w:footnoteRef/>
      </w:r>
      <w:r>
        <w:t xml:space="preserve"> </w:t>
      </w:r>
      <w:r w:rsidRPr="00846A93">
        <w:t>https://www.whitehouse.gov/sites/default/files/omb/assets/egov_docs/federal-cloud-computing-strategy.pdf</w:t>
      </w:r>
    </w:p>
  </w:footnote>
  <w:footnote w:id="19">
    <w:p w:rsidR="00C20C68" w:rsidRDefault="00C20C68" w:rsidP="00AD0D2A">
      <w:pPr>
        <w:pStyle w:val="FootnoteText"/>
        <w:spacing w:after="0"/>
      </w:pPr>
      <w:r>
        <w:rPr>
          <w:rStyle w:val="FootnoteReference"/>
        </w:rPr>
        <w:footnoteRef/>
      </w:r>
      <w:r>
        <w:t xml:space="preserve"> HEN15F65, Discussion draft for proposed legislation</w:t>
      </w:r>
    </w:p>
  </w:footnote>
  <w:footnote w:id="20">
    <w:p w:rsidR="00C20C68" w:rsidRDefault="00C20C68">
      <w:pPr>
        <w:pStyle w:val="FootnoteText"/>
      </w:pPr>
      <w:r>
        <w:rPr>
          <w:rStyle w:val="FootnoteReference"/>
        </w:rPr>
        <w:footnoteRef/>
      </w:r>
      <w:r>
        <w:t xml:space="preserve"> </w:t>
      </w:r>
      <w:r>
        <w:rPr>
          <w:color w:val="231F20"/>
        </w:rPr>
        <w:t>For example, networks, servers, storage, applications and services</w:t>
      </w:r>
    </w:p>
  </w:footnote>
  <w:footnote w:id="21">
    <w:p w:rsidR="00C20C68" w:rsidRDefault="00C20C68">
      <w:pPr>
        <w:pStyle w:val="FootnoteText"/>
      </w:pPr>
      <w:r>
        <w:rPr>
          <w:rStyle w:val="FootnoteReference"/>
        </w:rPr>
        <w:footnoteRef/>
      </w:r>
      <w:r>
        <w:t xml:space="preserve"> Ibid Footnote 2.</w:t>
      </w:r>
    </w:p>
  </w:footnote>
  <w:footnote w:id="22">
    <w:p w:rsidR="00C20C68" w:rsidRDefault="00C20C68">
      <w:pPr>
        <w:pStyle w:val="FootnoteText"/>
      </w:pPr>
      <w:r>
        <w:rPr>
          <w:rStyle w:val="FootnoteReference"/>
        </w:rPr>
        <w:footnoteRef/>
      </w:r>
      <w:r>
        <w:t xml:space="preserve"> Creating Effective Cloud Computing Contracts for the Federal Government, Best Practices for Acquiring IT as a Service, a Joint Publication of the Federal CIO Council and the Chief Acquisition Officers Council, in coordination with the Federal Cloud Compliance Committee, page 4, February 24, 2012</w:t>
      </w:r>
    </w:p>
  </w:footnote>
  <w:footnote w:id="23">
    <w:p w:rsidR="00C20C68" w:rsidRDefault="00C20C68" w:rsidP="00C11D2F">
      <w:pPr>
        <w:pStyle w:val="FootnoteText"/>
      </w:pPr>
      <w:r>
        <w:rPr>
          <w:rStyle w:val="FootnoteReference"/>
        </w:rPr>
        <w:footnoteRef/>
      </w:r>
      <w:r>
        <w:t xml:space="preserve"> Ibid Footnote 2, page 5</w:t>
      </w:r>
    </w:p>
  </w:footnote>
  <w:footnote w:id="24">
    <w:p w:rsidR="00C20C68" w:rsidRDefault="00C20C68" w:rsidP="00C11D2F">
      <w:pPr>
        <w:pStyle w:val="FootnoteText"/>
      </w:pPr>
      <w:r>
        <w:rPr>
          <w:rStyle w:val="FootnoteReference"/>
        </w:rPr>
        <w:footnoteRef/>
      </w:r>
      <w:r>
        <w:t xml:space="preserve"> </w:t>
      </w:r>
      <w:r w:rsidRPr="00331E6E">
        <w:rPr>
          <w:iCs/>
        </w:rPr>
        <w:t xml:space="preserve">See </w:t>
      </w:r>
      <w:r>
        <w:t xml:space="preserve">NIST Special Publication 800-145.  </w:t>
      </w:r>
    </w:p>
  </w:footnote>
  <w:footnote w:id="25">
    <w:p w:rsidR="00C20C68" w:rsidRDefault="00C20C68">
      <w:pPr>
        <w:pStyle w:val="FootnoteText"/>
      </w:pPr>
      <w:r>
        <w:rPr>
          <w:rStyle w:val="FootnoteReference"/>
        </w:rPr>
        <w:footnoteRef/>
      </w:r>
      <w:r>
        <w:t xml:space="preserve"> The NIST Definition of Cloud Computing: recommendations of the National Institute of Standards and Technology, NIST Special Publication 800-145, September 2011</w:t>
      </w:r>
    </w:p>
  </w:footnote>
  <w:footnote w:id="26">
    <w:p w:rsidR="00C20C68" w:rsidRDefault="00C20C68" w:rsidP="00C11D2F">
      <w:pPr>
        <w:pStyle w:val="FootnoteText"/>
      </w:pPr>
      <w:r>
        <w:rPr>
          <w:rStyle w:val="FootnoteReference"/>
        </w:rPr>
        <w:footnoteRef/>
      </w:r>
      <w:r>
        <w:t xml:space="preserve"> Ibid 14, pages 5-6</w:t>
      </w:r>
    </w:p>
  </w:footnote>
  <w:footnote w:id="27">
    <w:p w:rsidR="00C20C68" w:rsidRPr="005374AE" w:rsidRDefault="00C20C68">
      <w:pPr>
        <w:pStyle w:val="FootnoteText"/>
      </w:pPr>
      <w:r w:rsidRPr="005374AE">
        <w:rPr>
          <w:rStyle w:val="FootnoteReference"/>
        </w:rPr>
        <w:footnoteRef/>
      </w:r>
      <w:r w:rsidRPr="005374AE">
        <w:t xml:space="preserve"> </w:t>
      </w:r>
      <w:r w:rsidRPr="00331E6E">
        <w:rPr>
          <w:color w:val="000000"/>
        </w:rPr>
        <w:t>Trade Agreements Act of 1979, as amended (TAA), the National Technology Transfer and Advancement Act (NTTAA), and the Office of Management and Budget (OMB) Circular A-119 Revised: Federal Participation in the Development and Use of Voluntary Consensus Standards and in Conformity Assessment Activities</w:t>
      </w:r>
    </w:p>
  </w:footnote>
  <w:footnote w:id="28">
    <w:p w:rsidR="00C20C68" w:rsidRDefault="00C20C68">
      <w:pPr>
        <w:pStyle w:val="FootnoteText"/>
      </w:pPr>
      <w:r w:rsidRPr="005374AE">
        <w:rPr>
          <w:rStyle w:val="FootnoteReference"/>
        </w:rPr>
        <w:footnoteRef/>
      </w:r>
      <w:r w:rsidRPr="005374AE">
        <w:t xml:space="preserve"> </w:t>
      </w:r>
      <w:proofErr w:type="gramStart"/>
      <w:r w:rsidRPr="005374AE">
        <w:t>Special Publication 500-291, NIST Cloud Computing Standards Roadmap, lists relevant standards for security (see Table 5), interoperability (see Table 6), and portability (see Table 7).</w:t>
      </w:r>
      <w:proofErr w:type="gramEnd"/>
      <w:r>
        <w:t xml:space="preserve">  </w:t>
      </w:r>
    </w:p>
  </w:footnote>
  <w:footnote w:id="29">
    <w:p w:rsidR="00C20C68" w:rsidRDefault="00C20C68">
      <w:pPr>
        <w:pStyle w:val="FootnoteText"/>
      </w:pPr>
      <w:r>
        <w:rPr>
          <w:rStyle w:val="FootnoteReference"/>
        </w:rPr>
        <w:footnoteRef/>
      </w:r>
      <w:r>
        <w:t xml:space="preserve"> Ibid 14, page 11</w:t>
      </w:r>
    </w:p>
  </w:footnote>
  <w:footnote w:id="30">
    <w:p w:rsidR="00C20C68" w:rsidRPr="004C5A4B" w:rsidRDefault="00C20C68">
      <w:pPr>
        <w:pStyle w:val="FootnoteText"/>
      </w:pPr>
      <w:r>
        <w:rPr>
          <w:rStyle w:val="FootnoteReference"/>
        </w:rPr>
        <w:footnoteRef/>
      </w:r>
      <w:r>
        <w:t xml:space="preserve"> Compliance requirements </w:t>
      </w:r>
      <w:r w:rsidRPr="004C5A4B">
        <w:t xml:space="preserve">apply to </w:t>
      </w:r>
      <w:r w:rsidRPr="00331E6E">
        <w:t>all data security standards, laws, initiatives, and policies including FISMA, the Trusted Internet Connection (TIC) Initiative, ISO 27001, NIST standards, and agency specific policies</w:t>
      </w:r>
      <w:r>
        <w:t>.</w:t>
      </w:r>
    </w:p>
  </w:footnote>
  <w:footnote w:id="31">
    <w:p w:rsidR="00C20C68" w:rsidRDefault="00C20C68">
      <w:pPr>
        <w:pStyle w:val="FootnoteText"/>
      </w:pPr>
      <w:r>
        <w:rPr>
          <w:rStyle w:val="FootnoteReference"/>
        </w:rPr>
        <w:footnoteRef/>
      </w:r>
      <w:r>
        <w:t xml:space="preserve"> Also known as fair cryptosystem and key escrow both of which refer to an arrangement in which the keys needed to decrypt encrypted data are held in escrow so that an authorized third-party may gain access to the keys in certain documented circumstances.</w:t>
      </w:r>
    </w:p>
  </w:footnote>
  <w:footnote w:id="32">
    <w:p w:rsidR="00C20C68" w:rsidRDefault="00C20C68">
      <w:pPr>
        <w:pStyle w:val="FootnoteText"/>
      </w:pPr>
      <w:r>
        <w:rPr>
          <w:rStyle w:val="FootnoteReference"/>
        </w:rPr>
        <w:footnoteRef/>
      </w:r>
      <w:r>
        <w:t xml:space="preserve"> </w:t>
      </w:r>
      <w:proofErr w:type="gramStart"/>
      <w:r w:rsidRPr="00E20037">
        <w:t>NIST Special Publication 800-53.</w:t>
      </w:r>
      <w:proofErr w:type="gramEnd"/>
    </w:p>
  </w:footnote>
  <w:footnote w:id="33">
    <w:p w:rsidR="00C20C68" w:rsidRDefault="00C20C68">
      <w:pPr>
        <w:pStyle w:val="FootnoteText"/>
      </w:pPr>
      <w:r>
        <w:rPr>
          <w:rStyle w:val="FootnoteReference"/>
        </w:rPr>
        <w:footnoteRef/>
      </w:r>
      <w:r>
        <w:t xml:space="preserve"> </w:t>
      </w:r>
      <w:r w:rsidRPr="001D637F">
        <w:t>DHS’ National Cyber Security Division memo: “FY 2011 Chief Information Officer Federal Information Security Management Act Reporting Metrics.”</w:t>
      </w:r>
    </w:p>
  </w:footnote>
  <w:footnote w:id="34">
    <w:p w:rsidR="00C20C68" w:rsidRDefault="00C20C68">
      <w:pPr>
        <w:pStyle w:val="FootnoteText"/>
      </w:pPr>
      <w:r>
        <w:rPr>
          <w:rStyle w:val="FootnoteReference"/>
        </w:rPr>
        <w:footnoteRef/>
      </w:r>
      <w:r>
        <w:t xml:space="preserve"> </w:t>
      </w:r>
      <w:proofErr w:type="gramStart"/>
      <w:r>
        <w:t>Ibid 14, page13.</w:t>
      </w:r>
      <w:proofErr w:type="gramEnd"/>
    </w:p>
  </w:footnote>
  <w:footnote w:id="35">
    <w:p w:rsidR="00C20C68" w:rsidRDefault="00C20C68">
      <w:pPr>
        <w:pStyle w:val="FootnoteText"/>
      </w:pPr>
      <w:r>
        <w:rPr>
          <w:rStyle w:val="FootnoteReference"/>
        </w:rPr>
        <w:footnoteRef/>
      </w:r>
      <w:r>
        <w:t xml:space="preserve"> Ibid 14, page 12.</w:t>
      </w:r>
    </w:p>
  </w:footnote>
  <w:footnote w:id="36">
    <w:p w:rsidR="00C20C68" w:rsidRDefault="00C20C68">
      <w:pPr>
        <w:pStyle w:val="FootnoteText"/>
      </w:pPr>
      <w:r>
        <w:rPr>
          <w:rStyle w:val="FootnoteReference"/>
        </w:rPr>
        <w:footnoteRef/>
      </w:r>
      <w:r>
        <w:t xml:space="preserve"> Under OMB guidance, PII is broadly defined as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proofErr w:type="gramStart"/>
      <w:r>
        <w:t xml:space="preserve">Available at </w:t>
      </w:r>
      <w:r>
        <w:rPr>
          <w:color w:val="0000FF"/>
        </w:rPr>
        <w:t>http://www.whitehouse.gov/sites/default/files/omb/memoranda/fy2007/m07-16.pdf.</w:t>
      </w:r>
      <w:proofErr w:type="gramEnd"/>
      <w:r>
        <w:rPr>
          <w:color w:val="0000FF"/>
        </w:rPr>
        <w:t xml:space="preserve"> </w:t>
      </w:r>
      <w:r>
        <w:t xml:space="preserve"> </w:t>
      </w:r>
    </w:p>
  </w:footnote>
  <w:footnote w:id="37">
    <w:p w:rsidR="00C20C68" w:rsidRDefault="00C20C68">
      <w:pPr>
        <w:pStyle w:val="FootnoteText"/>
      </w:pPr>
      <w:r>
        <w:rPr>
          <w:rStyle w:val="FootnoteReference"/>
        </w:rPr>
        <w:footnoteRef/>
      </w:r>
      <w:r>
        <w:t xml:space="preserve"> </w:t>
      </w:r>
      <w:proofErr w:type="gramStart"/>
      <w:r>
        <w:t>Ibid 14, pages 18-23.</w:t>
      </w:r>
      <w:proofErr w:type="gramEnd"/>
    </w:p>
  </w:footnote>
  <w:footnote w:id="38">
    <w:p w:rsidR="00C20C68" w:rsidRDefault="00C20C68">
      <w:pPr>
        <w:pStyle w:val="FootnoteText"/>
      </w:pPr>
      <w:r>
        <w:rPr>
          <w:rStyle w:val="FootnoteReference"/>
        </w:rPr>
        <w:footnoteRef/>
      </w:r>
      <w:r>
        <w:t xml:space="preserve"> </w:t>
      </w:r>
      <w:r w:rsidRPr="00AF61C0">
        <w:t>In Re Fannie Mae Securities, 552 F.3d 814 (D.C. Cir. 2009); see also Moore v. Napolitano, 2010 WL 2780914 (D.D.C. July 15, 2010) (upholding sanctions).</w:t>
      </w:r>
    </w:p>
  </w:footnote>
  <w:footnote w:id="39">
    <w:p w:rsidR="00C20C68" w:rsidRDefault="00C20C68">
      <w:pPr>
        <w:pStyle w:val="FootnoteText"/>
      </w:pPr>
      <w:r>
        <w:rPr>
          <w:rStyle w:val="FootnoteReference"/>
        </w:rPr>
        <w:footnoteRef/>
      </w:r>
      <w:r>
        <w:t xml:space="preserve"> </w:t>
      </w:r>
      <w:r w:rsidRPr="00CA69E8">
        <w:t>The Sedona Conference Glossary (http://www.thesedonaconference.org/content/miscFiles/TSCGlossary_12_07.pdf) and the EDRM model (www.edrm.net). The Sedona Conference Glossary also contains many helpful definitions of common e</w:t>
      </w:r>
      <w:r>
        <w:t>-</w:t>
      </w:r>
      <w:r w:rsidRPr="00CA69E8">
        <w:t>discovery terms and concepts (both legal and technical).</w:t>
      </w:r>
      <w:r>
        <w:t xml:space="preserve">  </w:t>
      </w:r>
    </w:p>
  </w:footnote>
  <w:footnote w:id="40">
    <w:p w:rsidR="00C20C68" w:rsidRDefault="00C20C68">
      <w:pPr>
        <w:pStyle w:val="FootnoteText"/>
      </w:pPr>
      <w:r>
        <w:rPr>
          <w:rStyle w:val="FootnoteReference"/>
        </w:rPr>
        <w:footnoteRef/>
      </w:r>
      <w:r>
        <w:t xml:space="preserve"> E</w:t>
      </w:r>
      <w:r w:rsidRPr="00021AD4">
        <w:t>.g. Federal Rules of Civil Procedure: Rule 16 (Agreements/Scheduling Order); Rule 26(f) (Meet &amp; Confer re ESI); Rule 26 (b) (2) (Inaccessible ESI); Rule 33 (ESI Interrogatories); Rule 34(a) (ESI New Category); and Rule 34(b) (Form ESI).</w:t>
      </w:r>
    </w:p>
  </w:footnote>
  <w:footnote w:id="41">
    <w:p w:rsidR="00C20C68" w:rsidRDefault="00C20C68">
      <w:pPr>
        <w:pStyle w:val="FootnoteText"/>
      </w:pPr>
      <w:r>
        <w:rPr>
          <w:rStyle w:val="FootnoteReference"/>
        </w:rPr>
        <w:footnoteRef/>
      </w:r>
      <w:r>
        <w:t xml:space="preserve"> </w:t>
      </w:r>
      <w:r w:rsidRPr="00021AD4">
        <w:t xml:space="preserve">See e.g. Micron Tech., Inc. v. Rambus Inc., 2011 WL 1815975 (Fed. Cir. May 13, 2011) (“the proper standard for determining when the duty to preserve documents attaches is the flexible one of reasonably foreseeable litigation….”); </w:t>
      </w:r>
      <w:proofErr w:type="spellStart"/>
      <w:r w:rsidRPr="00021AD4">
        <w:t>Zubulake</w:t>
      </w:r>
      <w:proofErr w:type="spellEnd"/>
      <w:r w:rsidRPr="00021AD4">
        <w:t xml:space="preserve"> v. UBS Warburg, 220 F.R.D. 212 (S.D.N.Y. 2003) (“</w:t>
      </w:r>
      <w:proofErr w:type="spellStart"/>
      <w:r w:rsidRPr="00021AD4">
        <w:t>Zubulake</w:t>
      </w:r>
      <w:proofErr w:type="spellEnd"/>
      <w:r w:rsidRPr="00021AD4">
        <w:t xml:space="preserve"> IV”) (at the very start of a case or when litigation is reasonably anticipated, a litigation hold must be issued to prevent the spoliation of potential evidence).</w:t>
      </w:r>
    </w:p>
  </w:footnote>
  <w:footnote w:id="42">
    <w:p w:rsidR="00C20C68" w:rsidRDefault="00C20C68">
      <w:pPr>
        <w:pStyle w:val="FootnoteText"/>
      </w:pPr>
      <w:r>
        <w:rPr>
          <w:rStyle w:val="FootnoteReference"/>
        </w:rPr>
        <w:footnoteRef/>
      </w:r>
      <w:r>
        <w:t xml:space="preserve"> </w:t>
      </w:r>
      <w:proofErr w:type="gramStart"/>
      <w:r w:rsidRPr="00AC3B7B">
        <w:t>5 U.S.C. 552(b).</w:t>
      </w:r>
      <w:proofErr w:type="gramEnd"/>
      <w:r w:rsidRPr="00AC3B7B">
        <w:t xml:space="preserve"> See DOJ Office of Information Policy web page for general guidance, at http://www.justice.gov/oip/oip-guidance.html.</w:t>
      </w:r>
    </w:p>
  </w:footnote>
  <w:footnote w:id="43">
    <w:p w:rsidR="00C20C68" w:rsidRDefault="00C20C68">
      <w:pPr>
        <w:pStyle w:val="FootnoteText"/>
      </w:pPr>
      <w:r>
        <w:rPr>
          <w:rStyle w:val="FootnoteReference"/>
        </w:rPr>
        <w:footnoteRef/>
      </w:r>
      <w:r>
        <w:t xml:space="preserve"> </w:t>
      </w:r>
      <w:r w:rsidRPr="00AC3B7B">
        <w:t>The FOIA, as amended by the OPEN Government Act of 2007, specifically includes within the definition of an agency record “any information . . . that is maintained for an agency by an entity under Government contract, for the purposes of records management.” See 5 U.S.C. § 552(f) (2) (B) (2006 &amp; Supp. III 2009).</w:t>
      </w:r>
    </w:p>
  </w:footnote>
  <w:footnote w:id="44">
    <w:p w:rsidR="00C20C68" w:rsidRDefault="00C20C68">
      <w:pPr>
        <w:pStyle w:val="FootnoteText"/>
      </w:pPr>
      <w:r>
        <w:rPr>
          <w:rStyle w:val="FootnoteReference"/>
        </w:rPr>
        <w:footnoteRef/>
      </w:r>
      <w:r>
        <w:t xml:space="preserve"> </w:t>
      </w:r>
      <w:proofErr w:type="gramStart"/>
      <w:r w:rsidRPr="00AC3B7B">
        <w:t>5 U.S.C. 552(a) (3) (B).</w:t>
      </w:r>
      <w:proofErr w:type="gramEnd"/>
    </w:p>
  </w:footnote>
  <w:footnote w:id="45">
    <w:p w:rsidR="00C20C68" w:rsidRDefault="00C20C68">
      <w:pPr>
        <w:pStyle w:val="FootnoteText"/>
      </w:pPr>
      <w:r>
        <w:rPr>
          <w:rStyle w:val="FootnoteReference"/>
        </w:rPr>
        <w:footnoteRef/>
      </w:r>
      <w:r>
        <w:t xml:space="preserve"> Ibid 14, page 29.</w:t>
      </w:r>
    </w:p>
  </w:footnote>
  <w:footnote w:id="46">
    <w:p w:rsidR="00C20C68" w:rsidRDefault="00C20C68">
      <w:pPr>
        <w:pStyle w:val="FootnoteText"/>
      </w:pPr>
      <w:r>
        <w:rPr>
          <w:rStyle w:val="FootnoteReference"/>
        </w:rPr>
        <w:footnoteRef/>
      </w:r>
      <w:r>
        <w:t xml:space="preserve"> </w:t>
      </w:r>
      <w:r w:rsidRPr="00C07E7D">
        <w:t>The Presidential Memorandum directs the Archivist of the United States and the Director of OMB to issue a Records Management Directive containing specific steps in reforming and improving agency records management policies and practices. This Directive, when issued in mid-2012, will be informed by required agency reports devoted in part to describing how agencies are “deploying cloud based services or storage solutions.” http://www.whitehouse.gov/the-press-office/2011/11/28/presidential-memorandummanaging-government-records.</w:t>
      </w:r>
    </w:p>
  </w:footnote>
  <w:footnote w:id="47">
    <w:p w:rsidR="00C20C68" w:rsidRDefault="00C20C68">
      <w:pPr>
        <w:pStyle w:val="FootnoteText"/>
      </w:pPr>
      <w:r>
        <w:rPr>
          <w:rStyle w:val="FootnoteReference"/>
        </w:rPr>
        <w:footnoteRef/>
      </w:r>
      <w:r>
        <w:t xml:space="preserve"> </w:t>
      </w:r>
      <w:r w:rsidRPr="00C07E7D">
        <w:t>National Archives and Records Administration (NARA) Bulletin 2010-05, Guidance on Managing Records in Cloud Computing Environments, Sept. 8, 2010 (“Federal agencies are responsible for managing their records in accordance with NARA statutes including the Federal Records Act (44 U.S.C. Chapters 21, 29, 31, 33) and NARA regulations (36 CFR Chapter XII Subchapter B). This is true regardless of which cloud service and deployment models are adopted. However, NARA recognizes that the differences between models affect how and by whom (agency/contractor) records management activities can be performed.”).</w:t>
      </w:r>
    </w:p>
  </w:footnote>
  <w:footnote w:id="48">
    <w:p w:rsidR="00C20C68" w:rsidRDefault="00C20C68">
      <w:pPr>
        <w:pStyle w:val="FootnoteText"/>
      </w:pPr>
      <w:r>
        <w:rPr>
          <w:rStyle w:val="FootnoteReference"/>
        </w:rPr>
        <w:footnoteRef/>
      </w:r>
      <w:r>
        <w:t xml:space="preserve"> </w:t>
      </w:r>
      <w:proofErr w:type="gramStart"/>
      <w:r>
        <w:t>OMB Memorandum to the Heads of Executive Departments and Establishments, Circular No.</w:t>
      </w:r>
      <w:proofErr w:type="gramEnd"/>
      <w:r>
        <w:t xml:space="preserve"> A-131 (Revised), Value Engineering, December 25, 2013, in which cost savings is defined as a reduction in actual expenditures below the projected level of costs to achieve a specific objective and cost avoidance is defined as an action taken in the immediate time frame that will decrease costs in the future.</w:t>
      </w:r>
    </w:p>
  </w:footnote>
  <w:footnote w:id="49">
    <w:p w:rsidR="00C20C68" w:rsidRDefault="00C20C68" w:rsidP="00767E95">
      <w:pPr>
        <w:pStyle w:val="FootnoteText"/>
      </w:pPr>
      <w:r>
        <w:rPr>
          <w:rStyle w:val="FootnoteReference"/>
        </w:rPr>
        <w:footnoteRef/>
      </w:r>
      <w:r>
        <w:t xml:space="preserve"> Ibid Footnote 2, pages 4-5, “Rooms with at least one server, providing services (whether in a production, test, staging, development, or any other environment) are considered data centers.  However, rooms containing only print servers, routing equipment, switches, security devices (such as firewalls), or other telecommunications components shall not be considered data centers.”</w:t>
      </w:r>
    </w:p>
  </w:footnote>
  <w:footnote w:id="50">
    <w:p w:rsidR="00C20C68" w:rsidRDefault="00C20C68" w:rsidP="00767E95">
      <w:pPr>
        <w:pStyle w:val="FootnoteText"/>
      </w:pPr>
      <w:r>
        <w:rPr>
          <w:rStyle w:val="FootnoteReference"/>
        </w:rPr>
        <w:footnoteRef/>
      </w:r>
      <w:r>
        <w:t xml:space="preserve"> Ibid Footnote 2, page 5, “</w:t>
      </w:r>
      <w:r w:rsidRPr="00ED7CE0">
        <w:t xml:space="preserve">Data centers shall be categorized into two groups: tiered data centers and non-tiered data centers. Tiered data </w:t>
      </w:r>
      <w:proofErr w:type="gramStart"/>
      <w:r w:rsidRPr="00ED7CE0">
        <w:t xml:space="preserve">centers </w:t>
      </w:r>
      <w:r>
        <w:t xml:space="preserve"> are</w:t>
      </w:r>
      <w:proofErr w:type="gramEnd"/>
      <w:r>
        <w:t xml:space="preserve"> derived from the Uptime Institute’s Tier Classification System [but not requiring any certification in order for a data center to be considered tiered by OMB] </w:t>
      </w:r>
      <w:r w:rsidRPr="00ED7CE0">
        <w:t xml:space="preserve">are defined as those that utilize each of the following: 1) a separate physical space for IT infrastructure; 2) an uninterruptible power supply; 3) a dedicated cooling system or zone; and 4) a backup power generator for prolonged power outages. </w:t>
      </w:r>
      <w:r>
        <w:t xml:space="preserve"> </w:t>
      </w:r>
      <w:r w:rsidRPr="00ED7CE0">
        <w:t>All other data centers shall be considered non-tiered data centers.</w:t>
      </w:r>
      <w:r>
        <w:t xml:space="preserve"> </w:t>
      </w:r>
      <w:r w:rsidRPr="00ED7CE0">
        <w:t xml:space="preserve"> Private sector-provided cloud services are not considered data centers for the purposes of this memorandum, but must continue to be included in agencies’ quarterly inventory data submissions to OMB.</w:t>
      </w:r>
      <w:r>
        <w:t>”</w:t>
      </w:r>
    </w:p>
  </w:footnote>
  <w:footnote w:id="51">
    <w:p w:rsidR="00C20C68" w:rsidRDefault="00C20C68" w:rsidP="00767E95">
      <w:pPr>
        <w:pStyle w:val="FootnoteText"/>
      </w:pPr>
      <w:r>
        <w:rPr>
          <w:rStyle w:val="FootnoteReference"/>
        </w:rPr>
        <w:footnoteRef/>
      </w:r>
      <w:r>
        <w:t xml:space="preserve"> Ibid Footnote 2, page 10, “Agencies must maintain inventories of all data center facilities, closure/consolidation plans, and properties of each facility owned, operated, or maintained by or on behalf of the agency.”</w:t>
      </w:r>
    </w:p>
  </w:footnote>
  <w:footnote w:id="52">
    <w:p w:rsidR="00C20C68" w:rsidRDefault="00C20C68">
      <w:pPr>
        <w:pStyle w:val="FootnoteText"/>
      </w:pPr>
      <w:r>
        <w:rPr>
          <w:rStyle w:val="FootnoteReference"/>
        </w:rPr>
        <w:footnoteRef/>
      </w:r>
      <w:r>
        <w:t xml:space="preserve"> Ibid Footnote 2, page 10.</w:t>
      </w:r>
    </w:p>
  </w:footnote>
  <w:footnote w:id="53">
    <w:p w:rsidR="00C20C68" w:rsidRDefault="00C20C68">
      <w:pPr>
        <w:pStyle w:val="FootnoteText"/>
      </w:pPr>
      <w:r>
        <w:rPr>
          <w:rStyle w:val="FootnoteReference"/>
        </w:rPr>
        <w:footnoteRef/>
      </w:r>
      <w:r>
        <w:t xml:space="preserve"> Executive Order 13693, “Planning for Federal Sustainability in the Next Decade” </w:t>
      </w:r>
      <w:hyperlink r:id="rId6" w:history="1">
        <w:r w:rsidRPr="00212BCC">
          <w:rPr>
            <w:rStyle w:val="Hyperlink"/>
          </w:rPr>
          <w:t>https://www.whitehouse.gov/the-press-office/2015/03/19/executive-order-planning-federal-sustainability-next-decade</w:t>
        </w:r>
      </w:hyperlink>
      <w:r>
        <w:t>, requires agencies to install and monitor advanced energy meters in data centers by September 30, 2018</w:t>
      </w:r>
    </w:p>
  </w:footnote>
  <w:footnote w:id="54">
    <w:p w:rsidR="00C20C68" w:rsidRDefault="00C20C68">
      <w:pPr>
        <w:pStyle w:val="FootnoteText"/>
      </w:pPr>
      <w:r>
        <w:rPr>
          <w:rStyle w:val="FootnoteReference"/>
        </w:rPr>
        <w:footnoteRef/>
      </w:r>
      <w:r>
        <w:t xml:space="preserve"> Ibid Footnote 2, page 5-6.</w:t>
      </w:r>
    </w:p>
  </w:footnote>
  <w:footnote w:id="55">
    <w:p w:rsidR="00C20C68" w:rsidRDefault="00C20C68">
      <w:pPr>
        <w:pStyle w:val="FootnoteText"/>
      </w:pPr>
      <w:r>
        <w:rPr>
          <w:rStyle w:val="FootnoteReference"/>
        </w:rPr>
        <w:footnoteRef/>
      </w:r>
      <w:r>
        <w:t xml:space="preserve"> Ibid Footnote 52</w:t>
      </w:r>
    </w:p>
  </w:footnote>
  <w:footnote w:id="56">
    <w:p w:rsidR="00C20C68" w:rsidRDefault="00C20C68">
      <w:pPr>
        <w:pStyle w:val="FootnoteText"/>
      </w:pPr>
      <w:r>
        <w:rPr>
          <w:rStyle w:val="FootnoteReference"/>
        </w:rPr>
        <w:footnoteRef/>
      </w:r>
      <w:r>
        <w:t xml:space="preserve"> Ibid Footnote 2, page 7</w:t>
      </w:r>
    </w:p>
  </w:footnote>
  <w:footnote w:id="57">
    <w:p w:rsidR="00C20C68" w:rsidRDefault="00C20C68">
      <w:pPr>
        <w:pStyle w:val="FootnoteText"/>
      </w:pPr>
      <w:r>
        <w:rPr>
          <w:rStyle w:val="FootnoteReference"/>
        </w:rPr>
        <w:footnoteRef/>
      </w:r>
      <w:r>
        <w:t xml:space="preserve"> Ibid Footnote 2, page 8</w:t>
      </w:r>
    </w:p>
  </w:footnote>
  <w:footnote w:id="58">
    <w:p w:rsidR="00C20C68" w:rsidRDefault="00C20C68">
      <w:pPr>
        <w:pStyle w:val="FootnoteText"/>
      </w:pPr>
      <w:r>
        <w:rPr>
          <w:rStyle w:val="FootnoteReference"/>
        </w:rPr>
        <w:footnoteRef/>
      </w:r>
      <w:r>
        <w:t xml:space="preserve"> Ibid Footnote 2, pages 10-11</w:t>
      </w:r>
    </w:p>
  </w:footnote>
  <w:footnote w:id="59">
    <w:p w:rsidR="00C20C68" w:rsidRDefault="00C20C68">
      <w:pPr>
        <w:pStyle w:val="FootnoteText"/>
      </w:pPr>
      <w:r>
        <w:rPr>
          <w:rStyle w:val="FootnoteReference"/>
        </w:rPr>
        <w:footnoteRef/>
      </w:r>
      <w:r>
        <w:t xml:space="preserve"> Benchmarked against the sum of all non-cloud data center costs (including data center labor, software, hardware, electricity, and facility) found in physical data center fields of the IT Inventory Summary Table of the IT Dashboard.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68" w:rsidRDefault="00C20C68">
    <w:pPr>
      <w:pStyle w:val="Header"/>
    </w:pPr>
  </w:p>
  <w:p w:rsidR="00C20C68" w:rsidRDefault="00C20C68" w:rsidP="002A00C3">
    <w:pPr>
      <w:pStyle w:val="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68" w:rsidRDefault="00C20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68" w:rsidRDefault="00C20C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68" w:rsidRDefault="00C2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36FB8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6C52F2"/>
    <w:multiLevelType w:val="hybridMultilevel"/>
    <w:tmpl w:val="8A043886"/>
    <w:lvl w:ilvl="0" w:tplc="5844B66A">
      <w:start w:val="1"/>
      <w:numFmt w:val="decimal"/>
      <w:pStyle w:val="ListNumber1"/>
      <w:lvlText w:val="%1."/>
      <w:lvlJc w:val="left"/>
      <w:pPr>
        <w:tabs>
          <w:tab w:val="num" w:pos="600"/>
        </w:tabs>
        <w:ind w:left="600" w:hanging="360"/>
      </w:pPr>
      <w:rPr>
        <w:rFonts w:ascii="Times New Roman" w:hAnsi="Times New Roman" w:cs="Times New Roman"/>
        <w:b w:val="0"/>
        <w:bCs w:val="0"/>
        <w:iCs w:val="0"/>
        <w:caps w:val="0"/>
        <w:smallCaps w:val="0"/>
        <w:strike w:val="0"/>
        <w:dstrike w:val="0"/>
        <w:snapToGrid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1D5C30"/>
    <w:multiLevelType w:val="multilevel"/>
    <w:tmpl w:val="7972A526"/>
    <w:lvl w:ilvl="0">
      <w:start w:val="1"/>
      <w:numFmt w:val="bullet"/>
      <w:pStyle w:val="BulletList"/>
      <w:lvlText w:val=""/>
      <w:lvlJc w:val="left"/>
      <w:pPr>
        <w:tabs>
          <w:tab w:val="num" w:pos="720"/>
        </w:tabs>
        <w:ind w:left="72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20"/>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cs="Times New Roman" w:hint="default"/>
        <w:b w:val="0"/>
        <w:i w:val="0"/>
        <w:sz w:val="24"/>
      </w:rPr>
    </w:lvl>
    <w:lvl w:ilvl="5">
      <w:start w:val="1"/>
      <w:numFmt w:val="decimal"/>
      <w:lvlText w:val="%1.%2.%3.%4.%5.%6."/>
      <w:lvlJc w:val="left"/>
      <w:pPr>
        <w:tabs>
          <w:tab w:val="num" w:pos="4176"/>
        </w:tabs>
        <w:ind w:left="4176" w:hanging="1080"/>
      </w:pPr>
      <w:rPr>
        <w:rFonts w:ascii="Arial Narrow" w:hAnsi="Arial Narrow" w:cs="Times New Roman" w:hint="default"/>
        <w:b w:val="0"/>
        <w:i w:val="0"/>
        <w:sz w:val="24"/>
      </w:rPr>
    </w:lvl>
    <w:lvl w:ilvl="6">
      <w:start w:val="1"/>
      <w:numFmt w:val="decimal"/>
      <w:lvlText w:val="%1.%2.%3.%4.%5.%6.%7."/>
      <w:lvlJc w:val="left"/>
      <w:pPr>
        <w:tabs>
          <w:tab w:val="num" w:pos="5400"/>
        </w:tabs>
        <w:ind w:left="5400" w:hanging="1224"/>
      </w:pPr>
      <w:rPr>
        <w:rFonts w:ascii="Arial Narrow" w:hAnsi="Arial Narrow" w:cs="Times New Roman" w:hint="default"/>
        <w:b w:val="0"/>
        <w:i w:val="0"/>
        <w:sz w:val="24"/>
      </w:rPr>
    </w:lvl>
    <w:lvl w:ilvl="7">
      <w:start w:val="1"/>
      <w:numFmt w:val="decimal"/>
      <w:lvlText w:val="%1.%2.%3.%4.%5.%6.%7.%8."/>
      <w:lvlJc w:val="left"/>
      <w:pPr>
        <w:tabs>
          <w:tab w:val="num" w:pos="3744"/>
        </w:tabs>
        <w:ind w:left="3744" w:hanging="1224"/>
      </w:pPr>
      <w:rPr>
        <w:rFonts w:ascii="Arial Narrow" w:hAnsi="Arial Narrow" w:cs="Times New Roman" w:hint="default"/>
        <w:b w:val="0"/>
        <w:i w:val="0"/>
        <w:sz w:val="18"/>
      </w:rPr>
    </w:lvl>
    <w:lvl w:ilvl="8">
      <w:start w:val="1"/>
      <w:numFmt w:val="decimal"/>
      <w:lvlText w:val="%1.%2.%3.%4.%5.%6.%7.%8.%9."/>
      <w:lvlJc w:val="left"/>
      <w:pPr>
        <w:tabs>
          <w:tab w:val="num" w:pos="4320"/>
        </w:tabs>
        <w:ind w:left="4320" w:hanging="1440"/>
      </w:pPr>
      <w:rPr>
        <w:rFonts w:ascii="Arial Narrow" w:hAnsi="Arial Narrow" w:cs="Times New Roman" w:hint="default"/>
        <w:b w:val="0"/>
        <w:i w:val="0"/>
        <w:sz w:val="18"/>
      </w:rPr>
    </w:lvl>
  </w:abstractNum>
  <w:abstractNum w:abstractNumId="4">
    <w:nsid w:val="0A8B1F11"/>
    <w:multiLevelType w:val="hybridMultilevel"/>
    <w:tmpl w:val="1188D364"/>
    <w:lvl w:ilvl="0" w:tplc="353A6D58">
      <w:start w:val="1"/>
      <w:numFmt w:val="bullet"/>
      <w:lvlText w:val=""/>
      <w:lvlJc w:val="left"/>
      <w:pPr>
        <w:ind w:left="442" w:hanging="360"/>
      </w:pPr>
      <w:rPr>
        <w:rFonts w:ascii="Symbol" w:eastAsia="Symbol" w:hAnsi="Symbol" w:hint="default"/>
        <w:color w:val="231F20"/>
        <w:w w:val="99"/>
        <w:sz w:val="22"/>
        <w:szCs w:val="22"/>
      </w:rPr>
    </w:lvl>
    <w:lvl w:ilvl="1" w:tplc="545CC53C">
      <w:start w:val="1"/>
      <w:numFmt w:val="bullet"/>
      <w:lvlText w:val="•"/>
      <w:lvlJc w:val="left"/>
      <w:pPr>
        <w:ind w:left="869" w:hanging="360"/>
      </w:pPr>
      <w:rPr>
        <w:rFonts w:hint="default"/>
      </w:rPr>
    </w:lvl>
    <w:lvl w:ilvl="2" w:tplc="46D4C694">
      <w:start w:val="1"/>
      <w:numFmt w:val="bullet"/>
      <w:lvlText w:val="•"/>
      <w:lvlJc w:val="left"/>
      <w:pPr>
        <w:ind w:left="1296" w:hanging="360"/>
      </w:pPr>
      <w:rPr>
        <w:rFonts w:hint="default"/>
      </w:rPr>
    </w:lvl>
    <w:lvl w:ilvl="3" w:tplc="C39268BC">
      <w:start w:val="1"/>
      <w:numFmt w:val="bullet"/>
      <w:lvlText w:val="•"/>
      <w:lvlJc w:val="left"/>
      <w:pPr>
        <w:ind w:left="1722" w:hanging="360"/>
      </w:pPr>
      <w:rPr>
        <w:rFonts w:hint="default"/>
      </w:rPr>
    </w:lvl>
    <w:lvl w:ilvl="4" w:tplc="4E64CA60">
      <w:start w:val="1"/>
      <w:numFmt w:val="bullet"/>
      <w:lvlText w:val="•"/>
      <w:lvlJc w:val="left"/>
      <w:pPr>
        <w:ind w:left="2149" w:hanging="360"/>
      </w:pPr>
      <w:rPr>
        <w:rFonts w:hint="default"/>
      </w:rPr>
    </w:lvl>
    <w:lvl w:ilvl="5" w:tplc="454E3F7E">
      <w:start w:val="1"/>
      <w:numFmt w:val="bullet"/>
      <w:lvlText w:val="•"/>
      <w:lvlJc w:val="left"/>
      <w:pPr>
        <w:ind w:left="2576" w:hanging="360"/>
      </w:pPr>
      <w:rPr>
        <w:rFonts w:hint="default"/>
      </w:rPr>
    </w:lvl>
    <w:lvl w:ilvl="6" w:tplc="50FC3F0A">
      <w:start w:val="1"/>
      <w:numFmt w:val="bullet"/>
      <w:lvlText w:val="•"/>
      <w:lvlJc w:val="left"/>
      <w:pPr>
        <w:ind w:left="3003" w:hanging="360"/>
      </w:pPr>
      <w:rPr>
        <w:rFonts w:hint="default"/>
      </w:rPr>
    </w:lvl>
    <w:lvl w:ilvl="7" w:tplc="BE6E0002">
      <w:start w:val="1"/>
      <w:numFmt w:val="bullet"/>
      <w:lvlText w:val="•"/>
      <w:lvlJc w:val="left"/>
      <w:pPr>
        <w:ind w:left="3430" w:hanging="360"/>
      </w:pPr>
      <w:rPr>
        <w:rFonts w:hint="default"/>
      </w:rPr>
    </w:lvl>
    <w:lvl w:ilvl="8" w:tplc="C180C5A6">
      <w:start w:val="1"/>
      <w:numFmt w:val="bullet"/>
      <w:lvlText w:val="•"/>
      <w:lvlJc w:val="left"/>
      <w:pPr>
        <w:ind w:left="3856" w:hanging="360"/>
      </w:pPr>
      <w:rPr>
        <w:rFonts w:hint="default"/>
      </w:rPr>
    </w:lvl>
  </w:abstractNum>
  <w:abstractNum w:abstractNumId="5">
    <w:nsid w:val="0D620DB5"/>
    <w:multiLevelType w:val="hybridMultilevel"/>
    <w:tmpl w:val="ACBAD28C"/>
    <w:lvl w:ilvl="0" w:tplc="04684D96">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7D169E"/>
    <w:multiLevelType w:val="hybridMultilevel"/>
    <w:tmpl w:val="C21653C6"/>
    <w:lvl w:ilvl="0" w:tplc="9DAEA158">
      <w:start w:val="1"/>
      <w:numFmt w:val="decimal"/>
      <w:pStyle w:val="ListNumber8"/>
      <w:lvlText w:val="%1."/>
      <w:lvlJc w:val="left"/>
      <w:pPr>
        <w:tabs>
          <w:tab w:val="num" w:pos="600"/>
        </w:tabs>
        <w:ind w:left="600" w:hanging="360"/>
      </w:pPr>
      <w:rPr>
        <w:rFonts w:ascii="Times New Roman" w:hAnsi="Times New Roman" w:cs="Times New Roman"/>
        <w:b w:val="0"/>
        <w:bCs w:val="0"/>
        <w:iCs w:val="0"/>
        <w:caps w:val="0"/>
        <w:smallCaps w:val="0"/>
        <w:strike w:val="0"/>
        <w:dstrike w:val="0"/>
        <w:snapToGrid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B5606C"/>
    <w:multiLevelType w:val="hybridMultilevel"/>
    <w:tmpl w:val="8FF8825A"/>
    <w:lvl w:ilvl="0" w:tplc="E57681A6">
      <w:start w:val="1"/>
      <w:numFmt w:val="decimal"/>
      <w:pStyle w:val="ListNumber6"/>
      <w:lvlText w:val="%1."/>
      <w:lvlJc w:val="left"/>
      <w:pPr>
        <w:tabs>
          <w:tab w:val="num" w:pos="600"/>
        </w:tabs>
        <w:ind w:left="600" w:hanging="360"/>
      </w:pPr>
      <w:rPr>
        <w:rFonts w:ascii="Times New Roman" w:hAnsi="Times New Roman" w:cs="Times New Roman"/>
        <w:b w:val="0"/>
        <w:bCs w:val="0"/>
        <w:iCs w:val="0"/>
        <w:caps w:val="0"/>
        <w:smallCaps w:val="0"/>
        <w:strike w:val="0"/>
        <w:dstrike w:val="0"/>
        <w:snapToGrid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793734"/>
    <w:multiLevelType w:val="multilevel"/>
    <w:tmpl w:val="25D836A8"/>
    <w:lvl w:ilvl="0">
      <w:numFmt w:val="none"/>
      <w:lvlText w:val=""/>
      <w:lvlJc w:val="left"/>
      <w:pPr>
        <w:tabs>
          <w:tab w:val="num" w:pos="360"/>
        </w:tabs>
      </w:pPr>
      <w:rPr>
        <w:rFonts w:cs="Times New Roman"/>
      </w:rPr>
    </w:lvl>
    <w:lvl w:ilvl="1">
      <w:start w:val="1"/>
      <w:numFmt w:val="bullet"/>
      <w:lvlText w:val=""/>
      <w:lvlJc w:val="left"/>
      <w:pPr>
        <w:tabs>
          <w:tab w:val="num" w:pos="2952"/>
        </w:tabs>
        <w:ind w:left="2952" w:hanging="432"/>
      </w:pPr>
      <w:rPr>
        <w:rFonts w:ascii="Symbol" w:hAnsi="Symbol" w:hint="default"/>
      </w:rPr>
    </w:lvl>
    <w:lvl w:ilvl="2">
      <w:start w:val="1"/>
      <w:numFmt w:val="bullet"/>
      <w:pStyle w:val="ListBullet3"/>
      <w:lvlText w:val=""/>
      <w:lvlJc w:val="left"/>
      <w:pPr>
        <w:tabs>
          <w:tab w:val="num" w:pos="3240"/>
        </w:tabs>
        <w:ind w:left="32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9">
    <w:nsid w:val="175B4603"/>
    <w:multiLevelType w:val="hybridMultilevel"/>
    <w:tmpl w:val="5178C824"/>
    <w:lvl w:ilvl="0" w:tplc="AF6A2036">
      <w:start w:val="1"/>
      <w:numFmt w:val="decimal"/>
      <w:pStyle w:val="ListNumber7"/>
      <w:lvlText w:val="%1."/>
      <w:lvlJc w:val="left"/>
      <w:pPr>
        <w:tabs>
          <w:tab w:val="num" w:pos="600"/>
        </w:tabs>
        <w:ind w:left="600" w:hanging="360"/>
      </w:pPr>
      <w:rPr>
        <w:rFonts w:ascii="Times New Roman" w:hAnsi="Times New Roman" w:cs="Times New Roman"/>
        <w:b w:val="0"/>
        <w:bCs w:val="0"/>
        <w:iCs w:val="0"/>
        <w:caps w:val="0"/>
        <w:smallCaps w:val="0"/>
        <w:strike w:val="0"/>
        <w:dstrike w:val="0"/>
        <w:snapToGrid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177346"/>
    <w:multiLevelType w:val="hybridMultilevel"/>
    <w:tmpl w:val="7758E2AC"/>
    <w:lvl w:ilvl="0" w:tplc="D56E9B5A">
      <w:start w:val="1"/>
      <w:numFmt w:val="decimal"/>
      <w:pStyle w:val="ListNumber9"/>
      <w:lvlText w:val="%1."/>
      <w:lvlJc w:val="left"/>
      <w:pPr>
        <w:tabs>
          <w:tab w:val="num" w:pos="600"/>
        </w:tabs>
        <w:ind w:left="600" w:hanging="360"/>
      </w:pPr>
      <w:rPr>
        <w:rFonts w:ascii="Times New Roman" w:hAnsi="Times New Roman" w:cs="Times New Roman"/>
        <w:b w:val="0"/>
        <w:bCs w:val="0"/>
        <w:iCs w:val="0"/>
        <w:caps w:val="0"/>
        <w:smallCaps w:val="0"/>
        <w:strike w:val="0"/>
        <w:dstrike w:val="0"/>
        <w:snapToGrid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6D21207"/>
    <w:multiLevelType w:val="hybridMultilevel"/>
    <w:tmpl w:val="87E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D2D06"/>
    <w:multiLevelType w:val="singleLevel"/>
    <w:tmpl w:val="C4965A58"/>
    <w:lvl w:ilvl="0">
      <w:start w:val="1"/>
      <w:numFmt w:val="bullet"/>
      <w:pStyle w:val="Bullet1"/>
      <w:lvlText w:val=""/>
      <w:lvlJc w:val="left"/>
      <w:pPr>
        <w:tabs>
          <w:tab w:val="num" w:pos="360"/>
        </w:tabs>
        <w:ind w:left="360" w:hanging="360"/>
      </w:pPr>
      <w:rPr>
        <w:rFonts w:ascii="Symbol" w:hAnsi="Symbol" w:hint="default"/>
        <w:sz w:val="24"/>
      </w:rPr>
    </w:lvl>
  </w:abstractNum>
  <w:abstractNum w:abstractNumId="13">
    <w:nsid w:val="32A75FBB"/>
    <w:multiLevelType w:val="hybridMultilevel"/>
    <w:tmpl w:val="ABF69938"/>
    <w:lvl w:ilvl="0" w:tplc="8D4863A0">
      <w:start w:val="1"/>
      <w:numFmt w:val="bullet"/>
      <w:lvlText w:val=""/>
      <w:lvlJc w:val="left"/>
      <w:pPr>
        <w:ind w:left="442" w:hanging="360"/>
      </w:pPr>
      <w:rPr>
        <w:rFonts w:ascii="Symbol" w:eastAsia="Symbol" w:hAnsi="Symbol" w:hint="default"/>
        <w:color w:val="231F20"/>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662C5"/>
    <w:multiLevelType w:val="hybridMultilevel"/>
    <w:tmpl w:val="EA28B22E"/>
    <w:lvl w:ilvl="0" w:tplc="10C21EA2">
      <w:start w:val="1"/>
      <w:numFmt w:val="decimal"/>
      <w:pStyle w:val="Reference"/>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3233A"/>
    <w:multiLevelType w:val="hybridMultilevel"/>
    <w:tmpl w:val="674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06B9F"/>
    <w:multiLevelType w:val="hybridMultilevel"/>
    <w:tmpl w:val="FA2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D7909"/>
    <w:multiLevelType w:val="hybridMultilevel"/>
    <w:tmpl w:val="8320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F41BB"/>
    <w:multiLevelType w:val="multilevel"/>
    <w:tmpl w:val="9C0E30C4"/>
    <w:lvl w:ilvl="0">
      <w:start w:val="1"/>
      <w:numFmt w:val="decimal"/>
      <w:pStyle w:val="ListNumber"/>
      <w:lvlText w:val="%1."/>
      <w:lvlJc w:val="left"/>
      <w:pPr>
        <w:tabs>
          <w:tab w:val="num" w:pos="1080"/>
        </w:tabs>
        <w:ind w:firstLine="720"/>
      </w:pPr>
      <w:rPr>
        <w:rFonts w:cs="Times New Roman" w:hint="default"/>
      </w:rPr>
    </w:lvl>
    <w:lvl w:ilvl="1">
      <w:start w:val="1"/>
      <w:numFmt w:val="lowerLetter"/>
      <w:pStyle w:val="ListNumber2"/>
      <w:lvlText w:val="%2."/>
      <w:lvlJc w:val="left"/>
      <w:pPr>
        <w:tabs>
          <w:tab w:val="num" w:pos="1440"/>
        </w:tabs>
        <w:ind w:firstLine="1080"/>
      </w:pPr>
      <w:rPr>
        <w:rFonts w:cs="Times New Roman" w:hint="default"/>
      </w:rPr>
    </w:lvl>
    <w:lvl w:ilvl="2">
      <w:start w:val="1"/>
      <w:numFmt w:val="lowerRoman"/>
      <w:pStyle w:val="ListNumber3"/>
      <w:lvlText w:val="%3."/>
      <w:lvlJc w:val="left"/>
      <w:pPr>
        <w:tabs>
          <w:tab w:val="num" w:pos="2160"/>
        </w:tabs>
        <w:ind w:firstLine="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E9F0DB4"/>
    <w:multiLevelType w:val="hybridMultilevel"/>
    <w:tmpl w:val="9EFCBECE"/>
    <w:lvl w:ilvl="0" w:tplc="8D4863A0">
      <w:start w:val="1"/>
      <w:numFmt w:val="bullet"/>
      <w:lvlText w:val=""/>
      <w:lvlJc w:val="left"/>
      <w:pPr>
        <w:ind w:left="442" w:hanging="360"/>
      </w:pPr>
      <w:rPr>
        <w:rFonts w:ascii="Symbol" w:eastAsia="Symbol" w:hAnsi="Symbol" w:hint="default"/>
        <w:color w:val="231F20"/>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3646F"/>
    <w:multiLevelType w:val="singleLevel"/>
    <w:tmpl w:val="8194AE56"/>
    <w:lvl w:ilvl="0">
      <w:start w:val="1"/>
      <w:numFmt w:val="bullet"/>
      <w:pStyle w:val="GuidanceList1"/>
      <w:lvlText w:val=""/>
      <w:legacy w:legacy="1" w:legacySpace="0" w:legacyIndent="360"/>
      <w:lvlJc w:val="left"/>
      <w:pPr>
        <w:ind w:left="360" w:hanging="360"/>
      </w:pPr>
      <w:rPr>
        <w:rFonts w:ascii="Symbol" w:hAnsi="Symbol" w:hint="default"/>
      </w:rPr>
    </w:lvl>
  </w:abstractNum>
  <w:abstractNum w:abstractNumId="21">
    <w:nsid w:val="41C7204F"/>
    <w:multiLevelType w:val="hybridMultilevel"/>
    <w:tmpl w:val="3F1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D70D5"/>
    <w:multiLevelType w:val="singleLevel"/>
    <w:tmpl w:val="652497B2"/>
    <w:lvl w:ilvl="0">
      <w:start w:val="1"/>
      <w:numFmt w:val="bullet"/>
      <w:pStyle w:val="BulletedList1"/>
      <w:lvlText w:val=""/>
      <w:lvlJc w:val="left"/>
      <w:pPr>
        <w:tabs>
          <w:tab w:val="num" w:pos="360"/>
        </w:tabs>
        <w:ind w:left="360" w:hanging="360"/>
      </w:pPr>
      <w:rPr>
        <w:rFonts w:ascii="Symbol" w:hAnsi="Symbol" w:hint="default"/>
        <w:sz w:val="20"/>
        <w:szCs w:val="20"/>
      </w:rPr>
    </w:lvl>
  </w:abstractNum>
  <w:abstractNum w:abstractNumId="23">
    <w:nsid w:val="4D672CA6"/>
    <w:multiLevelType w:val="multilevel"/>
    <w:tmpl w:val="A4D0678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900"/>
        </w:tabs>
        <w:ind w:left="900" w:hanging="720"/>
      </w:pPr>
      <w:rPr>
        <w:rFonts w:cs="Times New Roman" w:hint="default"/>
        <w:b w:val="0"/>
      </w:rPr>
    </w:lvl>
    <w:lvl w:ilvl="3">
      <w:start w:val="1"/>
      <w:numFmt w:val="decimal"/>
      <w:pStyle w:val="Heading4"/>
      <w:lvlText w:val="%1.%2.%3.%4"/>
      <w:lvlJc w:val="left"/>
      <w:pPr>
        <w:tabs>
          <w:tab w:val="num" w:pos="1044"/>
        </w:tabs>
        <w:ind w:left="1044" w:hanging="864"/>
      </w:pPr>
      <w:rPr>
        <w:rFonts w:cs="Times New Roman" w:hint="default"/>
        <w:color w:val="00000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nsid w:val="4E264384"/>
    <w:multiLevelType w:val="multilevel"/>
    <w:tmpl w:val="0C5437C2"/>
    <w:lvl w:ilvl="0">
      <w:start w:val="1"/>
      <w:numFmt w:val="bullet"/>
      <w:pStyle w:val="Bulletmultiple"/>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E265200"/>
    <w:multiLevelType w:val="hybridMultilevel"/>
    <w:tmpl w:val="113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C05D0"/>
    <w:multiLevelType w:val="hybridMultilevel"/>
    <w:tmpl w:val="1578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C1FA0"/>
    <w:multiLevelType w:val="hybridMultilevel"/>
    <w:tmpl w:val="1F1A90CC"/>
    <w:lvl w:ilvl="0" w:tplc="FFFFFFFF">
      <w:start w:val="1"/>
      <w:numFmt w:val="bullet"/>
      <w:pStyle w:val="Table-ListBullet"/>
      <w:lvlText w:val=""/>
      <w:lvlJc w:val="left"/>
      <w:pPr>
        <w:tabs>
          <w:tab w:val="num" w:pos="317"/>
        </w:tabs>
        <w:ind w:left="317" w:hanging="31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053AAC"/>
    <w:multiLevelType w:val="hybridMultilevel"/>
    <w:tmpl w:val="78D6353A"/>
    <w:lvl w:ilvl="0" w:tplc="8D4863A0">
      <w:start w:val="1"/>
      <w:numFmt w:val="bullet"/>
      <w:lvlText w:val=""/>
      <w:lvlJc w:val="left"/>
      <w:pPr>
        <w:ind w:left="442" w:hanging="360"/>
      </w:pPr>
      <w:rPr>
        <w:rFonts w:ascii="Symbol" w:eastAsia="Symbol" w:hAnsi="Symbol" w:hint="default"/>
        <w:color w:val="231F20"/>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8199B"/>
    <w:multiLevelType w:val="hybridMultilevel"/>
    <w:tmpl w:val="7F14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843C8"/>
    <w:multiLevelType w:val="hybridMultilevel"/>
    <w:tmpl w:val="9BF21534"/>
    <w:lvl w:ilvl="0" w:tplc="7AB4F0B4">
      <w:start w:val="1"/>
      <w:numFmt w:val="bullet"/>
      <w:lvlText w:val=""/>
      <w:lvlJc w:val="left"/>
      <w:pPr>
        <w:ind w:left="442" w:hanging="360"/>
      </w:pPr>
      <w:rPr>
        <w:rFonts w:ascii="Symbol" w:eastAsia="Symbol" w:hAnsi="Symbol" w:hint="default"/>
        <w:color w:val="231F20"/>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E306D"/>
    <w:multiLevelType w:val="multilevel"/>
    <w:tmpl w:val="E42C1F7E"/>
    <w:lvl w:ilvl="0">
      <w:start w:val="1"/>
      <w:numFmt w:val="upperLetter"/>
      <w:pStyle w:val="AppHeading1"/>
      <w:lvlText w:val="Appendix %1."/>
      <w:lvlJc w:val="left"/>
      <w:pPr>
        <w:tabs>
          <w:tab w:val="num" w:pos="2160"/>
        </w:tabs>
        <w:ind w:left="1872" w:hanging="1872"/>
      </w:pPr>
      <w:rPr>
        <w:rFonts w:ascii="Arial Bold" w:hAnsi="Arial Bold" w:cs="Times New Roman" w:hint="default"/>
        <w:b/>
        <w:i w:val="0"/>
        <w:color w:val="0000FF"/>
        <w:sz w:val="36"/>
      </w:rPr>
    </w:lvl>
    <w:lvl w:ilvl="1">
      <w:start w:val="1"/>
      <w:numFmt w:val="decimal"/>
      <w:pStyle w:val="AppHeading2"/>
      <w:lvlText w:val="%1.%2"/>
      <w:lvlJc w:val="left"/>
      <w:pPr>
        <w:tabs>
          <w:tab w:val="num" w:pos="720"/>
        </w:tabs>
        <w:ind w:left="720" w:hanging="720"/>
      </w:pPr>
      <w:rPr>
        <w:rFonts w:ascii="Arial Bold" w:hAnsi="Arial Bold" w:cs="Times New Roman" w:hint="default"/>
        <w:b/>
        <w:i w:val="0"/>
        <w:color w:val="0000FF"/>
        <w:sz w:val="32"/>
      </w:rPr>
    </w:lvl>
    <w:lvl w:ilvl="2">
      <w:start w:val="1"/>
      <w:numFmt w:val="decimal"/>
      <w:lvlText w:val="%1.%2.%3"/>
      <w:lvlJc w:val="left"/>
      <w:pPr>
        <w:tabs>
          <w:tab w:val="num" w:pos="1008"/>
        </w:tabs>
        <w:ind w:left="1008" w:hanging="1008"/>
      </w:pPr>
      <w:rPr>
        <w:rFonts w:ascii="Arial Bold" w:hAnsi="Arial Bold" w:cs="Times New Roman" w:hint="default"/>
        <w:b/>
        <w:i w:val="0"/>
        <w:color w:val="0000FF"/>
        <w:sz w:val="28"/>
      </w:rPr>
    </w:lvl>
    <w:lvl w:ilvl="3">
      <w:start w:val="1"/>
      <w:numFmt w:val="decimal"/>
      <w:pStyle w:val="AppHeading4"/>
      <w:lvlText w:val="%1.%2.%3.%4"/>
      <w:lvlJc w:val="left"/>
      <w:pPr>
        <w:tabs>
          <w:tab w:val="num" w:pos="1008"/>
        </w:tabs>
        <w:ind w:left="1008" w:hanging="1008"/>
      </w:pPr>
      <w:rPr>
        <w:rFonts w:ascii="Arial Bold" w:hAnsi="Arial Bold" w:cs="Times New Roman" w:hint="default"/>
        <w:b/>
        <w:i w:val="0"/>
        <w:color w:val="0000FF"/>
        <w:sz w:val="26"/>
      </w:rPr>
    </w:lvl>
    <w:lvl w:ilvl="4">
      <w:start w:val="1"/>
      <w:numFmt w:val="decimal"/>
      <w:lvlText w:val="%5%4"/>
      <w:lvlJc w:val="left"/>
      <w:pPr>
        <w:tabs>
          <w:tab w:val="num" w:pos="1224"/>
        </w:tabs>
        <w:ind w:left="1224" w:hanging="1224"/>
      </w:pPr>
      <w:rPr>
        <w:rFonts w:ascii="Arial Narrow" w:hAnsi="Arial Narrow" w:cs="Times New Roman" w:hint="default"/>
        <w:b w:val="0"/>
        <w:i/>
        <w:sz w:val="26"/>
      </w:rPr>
    </w:lvl>
    <w:lvl w:ilvl="5">
      <w:start w:val="1"/>
      <w:numFmt w:val="none"/>
      <w:lvlText w:val=""/>
      <w:lvlJc w:val="left"/>
      <w:pPr>
        <w:tabs>
          <w:tab w:val="num" w:pos="2160"/>
        </w:tabs>
        <w:ind w:left="2160" w:hanging="360"/>
      </w:pPr>
      <w:rPr>
        <w:rFonts w:ascii="Arial Narrow" w:hAnsi="Arial Narrow" w:cs="Times New Roman" w:hint="default"/>
        <w:sz w:val="24"/>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2">
    <w:nsid w:val="65AF41EA"/>
    <w:multiLevelType w:val="hybridMultilevel"/>
    <w:tmpl w:val="B504FC82"/>
    <w:lvl w:ilvl="0" w:tplc="833E4158">
      <w:start w:val="1"/>
      <w:numFmt w:val="bullet"/>
      <w:lvlText w:val=""/>
      <w:lvlJc w:val="left"/>
      <w:pPr>
        <w:ind w:left="720" w:hanging="360"/>
      </w:pPr>
      <w:rPr>
        <w:rFonts w:ascii="Symbol" w:hAnsi="Symbol" w:hint="default"/>
      </w:rPr>
    </w:lvl>
    <w:lvl w:ilvl="1" w:tplc="1E9EEA56">
      <w:start w:val="1"/>
      <w:numFmt w:val="bullet"/>
      <w:lvlText w:val="o"/>
      <w:lvlJc w:val="left"/>
      <w:pPr>
        <w:ind w:left="1440" w:hanging="360"/>
      </w:pPr>
      <w:rPr>
        <w:rFonts w:ascii="Courier New" w:hAnsi="Courier New" w:cs="Courier New" w:hint="default"/>
      </w:rPr>
    </w:lvl>
    <w:lvl w:ilvl="2" w:tplc="AC4EAEA6" w:tentative="1">
      <w:start w:val="1"/>
      <w:numFmt w:val="bullet"/>
      <w:lvlText w:val=""/>
      <w:lvlJc w:val="left"/>
      <w:pPr>
        <w:ind w:left="2160" w:hanging="360"/>
      </w:pPr>
      <w:rPr>
        <w:rFonts w:ascii="Wingdings" w:hAnsi="Wingdings" w:hint="default"/>
      </w:rPr>
    </w:lvl>
    <w:lvl w:ilvl="3" w:tplc="CD5A8250" w:tentative="1">
      <w:start w:val="1"/>
      <w:numFmt w:val="bullet"/>
      <w:lvlText w:val=""/>
      <w:lvlJc w:val="left"/>
      <w:pPr>
        <w:ind w:left="2880" w:hanging="360"/>
      </w:pPr>
      <w:rPr>
        <w:rFonts w:ascii="Symbol" w:hAnsi="Symbol" w:hint="default"/>
      </w:rPr>
    </w:lvl>
    <w:lvl w:ilvl="4" w:tplc="CC346DC0" w:tentative="1">
      <w:start w:val="1"/>
      <w:numFmt w:val="bullet"/>
      <w:lvlText w:val="o"/>
      <w:lvlJc w:val="left"/>
      <w:pPr>
        <w:ind w:left="3600" w:hanging="360"/>
      </w:pPr>
      <w:rPr>
        <w:rFonts w:ascii="Courier New" w:hAnsi="Courier New" w:cs="Courier New" w:hint="default"/>
      </w:rPr>
    </w:lvl>
    <w:lvl w:ilvl="5" w:tplc="DCD0B78E" w:tentative="1">
      <w:start w:val="1"/>
      <w:numFmt w:val="bullet"/>
      <w:lvlText w:val=""/>
      <w:lvlJc w:val="left"/>
      <w:pPr>
        <w:ind w:left="4320" w:hanging="360"/>
      </w:pPr>
      <w:rPr>
        <w:rFonts w:ascii="Wingdings" w:hAnsi="Wingdings" w:hint="default"/>
      </w:rPr>
    </w:lvl>
    <w:lvl w:ilvl="6" w:tplc="7C16EF44" w:tentative="1">
      <w:start w:val="1"/>
      <w:numFmt w:val="bullet"/>
      <w:lvlText w:val=""/>
      <w:lvlJc w:val="left"/>
      <w:pPr>
        <w:ind w:left="5040" w:hanging="360"/>
      </w:pPr>
      <w:rPr>
        <w:rFonts w:ascii="Symbol" w:hAnsi="Symbol" w:hint="default"/>
      </w:rPr>
    </w:lvl>
    <w:lvl w:ilvl="7" w:tplc="92EAC848" w:tentative="1">
      <w:start w:val="1"/>
      <w:numFmt w:val="bullet"/>
      <w:lvlText w:val="o"/>
      <w:lvlJc w:val="left"/>
      <w:pPr>
        <w:ind w:left="5760" w:hanging="360"/>
      </w:pPr>
      <w:rPr>
        <w:rFonts w:ascii="Courier New" w:hAnsi="Courier New" w:cs="Courier New" w:hint="default"/>
      </w:rPr>
    </w:lvl>
    <w:lvl w:ilvl="8" w:tplc="06985DCE" w:tentative="1">
      <w:start w:val="1"/>
      <w:numFmt w:val="bullet"/>
      <w:lvlText w:val=""/>
      <w:lvlJc w:val="left"/>
      <w:pPr>
        <w:ind w:left="6480" w:hanging="360"/>
      </w:pPr>
      <w:rPr>
        <w:rFonts w:ascii="Wingdings" w:hAnsi="Wingdings" w:hint="default"/>
      </w:rPr>
    </w:lvl>
  </w:abstractNum>
  <w:abstractNum w:abstractNumId="33">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3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5">
    <w:nsid w:val="71D9552C"/>
    <w:multiLevelType w:val="hybridMultilevel"/>
    <w:tmpl w:val="6F06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80FD6"/>
    <w:multiLevelType w:val="hybridMultilevel"/>
    <w:tmpl w:val="8CA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92D1C"/>
    <w:multiLevelType w:val="hybridMultilevel"/>
    <w:tmpl w:val="157A6A0A"/>
    <w:lvl w:ilvl="0" w:tplc="4CBE9C50">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D7361"/>
    <w:multiLevelType w:val="multilevel"/>
    <w:tmpl w:val="50146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D83867"/>
    <w:multiLevelType w:val="hybridMultilevel"/>
    <w:tmpl w:val="173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F13E8"/>
    <w:multiLevelType w:val="hybridMultilevel"/>
    <w:tmpl w:val="D9148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2"/>
  </w:num>
  <w:num w:numId="4">
    <w:abstractNumId w:val="0"/>
  </w:num>
  <w:num w:numId="5">
    <w:abstractNumId w:val="31"/>
  </w:num>
  <w:num w:numId="6">
    <w:abstractNumId w:val="8"/>
  </w:num>
  <w:num w:numId="7">
    <w:abstractNumId w:val="18"/>
  </w:num>
  <w:num w:numId="8">
    <w:abstractNumId w:val="3"/>
  </w:num>
  <w:num w:numId="9">
    <w:abstractNumId w:val="20"/>
  </w:num>
  <w:num w:numId="10">
    <w:abstractNumId w:val="27"/>
  </w:num>
  <w:num w:numId="11">
    <w:abstractNumId w:val="2"/>
  </w:num>
  <w:num w:numId="12">
    <w:abstractNumId w:val="10"/>
  </w:num>
  <w:num w:numId="13">
    <w:abstractNumId w:val="7"/>
  </w:num>
  <w:num w:numId="14">
    <w:abstractNumId w:val="9"/>
  </w:num>
  <w:num w:numId="15">
    <w:abstractNumId w:val="6"/>
  </w:num>
  <w:num w:numId="16">
    <w:abstractNumId w:val="22"/>
  </w:num>
  <w:num w:numId="17">
    <w:abstractNumId w:val="33"/>
  </w:num>
  <w:num w:numId="18">
    <w:abstractNumId w:val="34"/>
  </w:num>
  <w:num w:numId="19">
    <w:abstractNumId w:val="32"/>
  </w:num>
  <w:num w:numId="20">
    <w:abstractNumId w:val="4"/>
  </w:num>
  <w:num w:numId="21">
    <w:abstractNumId w:val="14"/>
  </w:num>
  <w:num w:numId="22">
    <w:abstractNumId w:val="24"/>
  </w:num>
  <w:num w:numId="23">
    <w:abstractNumId w:val="25"/>
  </w:num>
  <w:num w:numId="24">
    <w:abstractNumId w:val="16"/>
  </w:num>
  <w:num w:numId="25">
    <w:abstractNumId w:val="29"/>
  </w:num>
  <w:num w:numId="26">
    <w:abstractNumId w:val="28"/>
  </w:num>
  <w:num w:numId="27">
    <w:abstractNumId w:val="13"/>
  </w:num>
  <w:num w:numId="28">
    <w:abstractNumId w:val="19"/>
  </w:num>
  <w:num w:numId="29">
    <w:abstractNumId w:val="30"/>
  </w:num>
  <w:num w:numId="30">
    <w:abstractNumId w:val="11"/>
  </w:num>
  <w:num w:numId="31">
    <w:abstractNumId w:val="15"/>
  </w:num>
  <w:num w:numId="32">
    <w:abstractNumId w:val="17"/>
  </w:num>
  <w:num w:numId="33">
    <w:abstractNumId w:val="36"/>
  </w:num>
  <w:num w:numId="34">
    <w:abstractNumId w:val="40"/>
  </w:num>
  <w:num w:numId="35">
    <w:abstractNumId w:val="35"/>
  </w:num>
  <w:num w:numId="36">
    <w:abstractNumId w:val="37"/>
  </w:num>
  <w:num w:numId="37">
    <w:abstractNumId w:val="38"/>
  </w:num>
  <w:num w:numId="38">
    <w:abstractNumId w:val="21"/>
  </w:num>
  <w:num w:numId="39">
    <w:abstractNumId w:val="26"/>
  </w:num>
  <w:num w:numId="40">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85"/>
    <w:rsid w:val="000000C7"/>
    <w:rsid w:val="00000699"/>
    <w:rsid w:val="00000707"/>
    <w:rsid w:val="00001B28"/>
    <w:rsid w:val="00001D3D"/>
    <w:rsid w:val="00001E23"/>
    <w:rsid w:val="000035C9"/>
    <w:rsid w:val="00003683"/>
    <w:rsid w:val="000040BD"/>
    <w:rsid w:val="000048C6"/>
    <w:rsid w:val="00004ADD"/>
    <w:rsid w:val="00006C3A"/>
    <w:rsid w:val="00006CD8"/>
    <w:rsid w:val="00006DDC"/>
    <w:rsid w:val="00007231"/>
    <w:rsid w:val="0001019D"/>
    <w:rsid w:val="00010277"/>
    <w:rsid w:val="00011D68"/>
    <w:rsid w:val="0001527F"/>
    <w:rsid w:val="000157C2"/>
    <w:rsid w:val="00015F2D"/>
    <w:rsid w:val="000161C8"/>
    <w:rsid w:val="0002033A"/>
    <w:rsid w:val="000205CE"/>
    <w:rsid w:val="00020BDC"/>
    <w:rsid w:val="00021626"/>
    <w:rsid w:val="00021AD4"/>
    <w:rsid w:val="000223B2"/>
    <w:rsid w:val="000252C4"/>
    <w:rsid w:val="000252E8"/>
    <w:rsid w:val="00025457"/>
    <w:rsid w:val="00025CE0"/>
    <w:rsid w:val="000268BD"/>
    <w:rsid w:val="00027A56"/>
    <w:rsid w:val="00027AEC"/>
    <w:rsid w:val="000302EA"/>
    <w:rsid w:val="00031F28"/>
    <w:rsid w:val="00032097"/>
    <w:rsid w:val="00032522"/>
    <w:rsid w:val="00033B87"/>
    <w:rsid w:val="00034223"/>
    <w:rsid w:val="000350A6"/>
    <w:rsid w:val="00036BE3"/>
    <w:rsid w:val="00037DD0"/>
    <w:rsid w:val="00040A23"/>
    <w:rsid w:val="00041830"/>
    <w:rsid w:val="00042188"/>
    <w:rsid w:val="00042237"/>
    <w:rsid w:val="000427AA"/>
    <w:rsid w:val="0004338E"/>
    <w:rsid w:val="00043EC8"/>
    <w:rsid w:val="0004414D"/>
    <w:rsid w:val="000441A4"/>
    <w:rsid w:val="00044A77"/>
    <w:rsid w:val="000457C0"/>
    <w:rsid w:val="00050322"/>
    <w:rsid w:val="0005087A"/>
    <w:rsid w:val="00050991"/>
    <w:rsid w:val="0005154A"/>
    <w:rsid w:val="000515EF"/>
    <w:rsid w:val="00051665"/>
    <w:rsid w:val="000517C8"/>
    <w:rsid w:val="00051D72"/>
    <w:rsid w:val="00051D93"/>
    <w:rsid w:val="0005208C"/>
    <w:rsid w:val="00052334"/>
    <w:rsid w:val="000534FD"/>
    <w:rsid w:val="00053FF8"/>
    <w:rsid w:val="0005453D"/>
    <w:rsid w:val="00054B45"/>
    <w:rsid w:val="00054CD4"/>
    <w:rsid w:val="00055334"/>
    <w:rsid w:val="000553B8"/>
    <w:rsid w:val="000554D8"/>
    <w:rsid w:val="00055CD4"/>
    <w:rsid w:val="000563A8"/>
    <w:rsid w:val="00056B92"/>
    <w:rsid w:val="00056BB7"/>
    <w:rsid w:val="00057829"/>
    <w:rsid w:val="00060005"/>
    <w:rsid w:val="00060201"/>
    <w:rsid w:val="00060DCC"/>
    <w:rsid w:val="00061B7A"/>
    <w:rsid w:val="00061C74"/>
    <w:rsid w:val="00062069"/>
    <w:rsid w:val="0006269C"/>
    <w:rsid w:val="00062701"/>
    <w:rsid w:val="0006397B"/>
    <w:rsid w:val="00063987"/>
    <w:rsid w:val="000655BC"/>
    <w:rsid w:val="00067F16"/>
    <w:rsid w:val="0007160B"/>
    <w:rsid w:val="0007169D"/>
    <w:rsid w:val="00071ED6"/>
    <w:rsid w:val="00071F87"/>
    <w:rsid w:val="00072BC1"/>
    <w:rsid w:val="00073ADC"/>
    <w:rsid w:val="000758DE"/>
    <w:rsid w:val="00075E2E"/>
    <w:rsid w:val="00076F8A"/>
    <w:rsid w:val="0007728A"/>
    <w:rsid w:val="00077294"/>
    <w:rsid w:val="00077D73"/>
    <w:rsid w:val="0008279D"/>
    <w:rsid w:val="00082E54"/>
    <w:rsid w:val="0008304D"/>
    <w:rsid w:val="00083432"/>
    <w:rsid w:val="000834CE"/>
    <w:rsid w:val="00083763"/>
    <w:rsid w:val="00083ED4"/>
    <w:rsid w:val="00085338"/>
    <w:rsid w:val="0008679B"/>
    <w:rsid w:val="00087328"/>
    <w:rsid w:val="00090280"/>
    <w:rsid w:val="00090447"/>
    <w:rsid w:val="00091669"/>
    <w:rsid w:val="00093F9D"/>
    <w:rsid w:val="00094A5C"/>
    <w:rsid w:val="00094B04"/>
    <w:rsid w:val="00094FEF"/>
    <w:rsid w:val="000957EB"/>
    <w:rsid w:val="000961A2"/>
    <w:rsid w:val="00096249"/>
    <w:rsid w:val="00097155"/>
    <w:rsid w:val="00097CE4"/>
    <w:rsid w:val="000A0EEA"/>
    <w:rsid w:val="000A1A22"/>
    <w:rsid w:val="000A1C77"/>
    <w:rsid w:val="000A1D22"/>
    <w:rsid w:val="000A1DB2"/>
    <w:rsid w:val="000A2032"/>
    <w:rsid w:val="000A32F5"/>
    <w:rsid w:val="000A3A13"/>
    <w:rsid w:val="000A4140"/>
    <w:rsid w:val="000A43AD"/>
    <w:rsid w:val="000A49AD"/>
    <w:rsid w:val="000A606B"/>
    <w:rsid w:val="000A6268"/>
    <w:rsid w:val="000A7E88"/>
    <w:rsid w:val="000B0267"/>
    <w:rsid w:val="000B0D2A"/>
    <w:rsid w:val="000B2372"/>
    <w:rsid w:val="000B2374"/>
    <w:rsid w:val="000B2884"/>
    <w:rsid w:val="000B2D83"/>
    <w:rsid w:val="000B3557"/>
    <w:rsid w:val="000B3C84"/>
    <w:rsid w:val="000B4796"/>
    <w:rsid w:val="000B572A"/>
    <w:rsid w:val="000B7CEA"/>
    <w:rsid w:val="000C0613"/>
    <w:rsid w:val="000C1376"/>
    <w:rsid w:val="000C1A9A"/>
    <w:rsid w:val="000C2581"/>
    <w:rsid w:val="000C28D7"/>
    <w:rsid w:val="000C47D7"/>
    <w:rsid w:val="000C484C"/>
    <w:rsid w:val="000C4907"/>
    <w:rsid w:val="000C4C0E"/>
    <w:rsid w:val="000C5325"/>
    <w:rsid w:val="000C5595"/>
    <w:rsid w:val="000C57DE"/>
    <w:rsid w:val="000C58CC"/>
    <w:rsid w:val="000C5EF4"/>
    <w:rsid w:val="000C6A70"/>
    <w:rsid w:val="000D09E5"/>
    <w:rsid w:val="000D1FA4"/>
    <w:rsid w:val="000D268D"/>
    <w:rsid w:val="000D29BD"/>
    <w:rsid w:val="000D3514"/>
    <w:rsid w:val="000D35E0"/>
    <w:rsid w:val="000D38F1"/>
    <w:rsid w:val="000D3C4F"/>
    <w:rsid w:val="000D3FB3"/>
    <w:rsid w:val="000D519C"/>
    <w:rsid w:val="000D6C67"/>
    <w:rsid w:val="000D78E7"/>
    <w:rsid w:val="000E05A3"/>
    <w:rsid w:val="000E07A6"/>
    <w:rsid w:val="000E16EA"/>
    <w:rsid w:val="000E1A1B"/>
    <w:rsid w:val="000E1A27"/>
    <w:rsid w:val="000E268C"/>
    <w:rsid w:val="000E2EA8"/>
    <w:rsid w:val="000E4B12"/>
    <w:rsid w:val="000E50D1"/>
    <w:rsid w:val="000E56B6"/>
    <w:rsid w:val="000E5D39"/>
    <w:rsid w:val="000E5F93"/>
    <w:rsid w:val="000E6471"/>
    <w:rsid w:val="000E6757"/>
    <w:rsid w:val="000E68DB"/>
    <w:rsid w:val="000E7841"/>
    <w:rsid w:val="000F06AF"/>
    <w:rsid w:val="000F116A"/>
    <w:rsid w:val="000F12CD"/>
    <w:rsid w:val="000F13D6"/>
    <w:rsid w:val="000F2215"/>
    <w:rsid w:val="000F2BB4"/>
    <w:rsid w:val="000F3BD0"/>
    <w:rsid w:val="000F4784"/>
    <w:rsid w:val="000F4FA7"/>
    <w:rsid w:val="000F5299"/>
    <w:rsid w:val="000F5807"/>
    <w:rsid w:val="000F6E19"/>
    <w:rsid w:val="000F7431"/>
    <w:rsid w:val="00100DE2"/>
    <w:rsid w:val="001011D3"/>
    <w:rsid w:val="001016C2"/>
    <w:rsid w:val="0010231D"/>
    <w:rsid w:val="00102388"/>
    <w:rsid w:val="00102424"/>
    <w:rsid w:val="001049B4"/>
    <w:rsid w:val="0010568E"/>
    <w:rsid w:val="001056F1"/>
    <w:rsid w:val="0010631E"/>
    <w:rsid w:val="00106580"/>
    <w:rsid w:val="00107B46"/>
    <w:rsid w:val="00111028"/>
    <w:rsid w:val="001112C6"/>
    <w:rsid w:val="0011281E"/>
    <w:rsid w:val="00112BA0"/>
    <w:rsid w:val="00114160"/>
    <w:rsid w:val="001158F1"/>
    <w:rsid w:val="001163A5"/>
    <w:rsid w:val="0011677E"/>
    <w:rsid w:val="0011681E"/>
    <w:rsid w:val="00116A97"/>
    <w:rsid w:val="00117706"/>
    <w:rsid w:val="0011770E"/>
    <w:rsid w:val="0011775C"/>
    <w:rsid w:val="00117D71"/>
    <w:rsid w:val="00121214"/>
    <w:rsid w:val="00121851"/>
    <w:rsid w:val="0012217E"/>
    <w:rsid w:val="00123458"/>
    <w:rsid w:val="00123AFB"/>
    <w:rsid w:val="00127DFC"/>
    <w:rsid w:val="001302C6"/>
    <w:rsid w:val="001307F0"/>
    <w:rsid w:val="00130E8C"/>
    <w:rsid w:val="00131573"/>
    <w:rsid w:val="00132B7C"/>
    <w:rsid w:val="00133A3B"/>
    <w:rsid w:val="00133B4D"/>
    <w:rsid w:val="00133E8E"/>
    <w:rsid w:val="001349D7"/>
    <w:rsid w:val="00135DFE"/>
    <w:rsid w:val="00136268"/>
    <w:rsid w:val="00137161"/>
    <w:rsid w:val="0013760B"/>
    <w:rsid w:val="001379B7"/>
    <w:rsid w:val="00137A3F"/>
    <w:rsid w:val="001409AD"/>
    <w:rsid w:val="00140FEA"/>
    <w:rsid w:val="00141A42"/>
    <w:rsid w:val="00142A7C"/>
    <w:rsid w:val="001446BB"/>
    <w:rsid w:val="0014588F"/>
    <w:rsid w:val="00145A86"/>
    <w:rsid w:val="001469BD"/>
    <w:rsid w:val="00146F5E"/>
    <w:rsid w:val="00147D17"/>
    <w:rsid w:val="00151335"/>
    <w:rsid w:val="00151493"/>
    <w:rsid w:val="00151B66"/>
    <w:rsid w:val="00151C60"/>
    <w:rsid w:val="001524EF"/>
    <w:rsid w:val="0015272E"/>
    <w:rsid w:val="001531FE"/>
    <w:rsid w:val="001535B8"/>
    <w:rsid w:val="00153C8C"/>
    <w:rsid w:val="001543C6"/>
    <w:rsid w:val="0015447C"/>
    <w:rsid w:val="00156298"/>
    <w:rsid w:val="0015732A"/>
    <w:rsid w:val="00157398"/>
    <w:rsid w:val="0015767E"/>
    <w:rsid w:val="00157F64"/>
    <w:rsid w:val="00160FB2"/>
    <w:rsid w:val="001625E0"/>
    <w:rsid w:val="00163092"/>
    <w:rsid w:val="00163679"/>
    <w:rsid w:val="00164A6F"/>
    <w:rsid w:val="00165D36"/>
    <w:rsid w:val="00166364"/>
    <w:rsid w:val="00166AD7"/>
    <w:rsid w:val="001717CB"/>
    <w:rsid w:val="001725C2"/>
    <w:rsid w:val="00172EE6"/>
    <w:rsid w:val="00174699"/>
    <w:rsid w:val="001749E5"/>
    <w:rsid w:val="00175527"/>
    <w:rsid w:val="00175606"/>
    <w:rsid w:val="00175E01"/>
    <w:rsid w:val="00175F8C"/>
    <w:rsid w:val="00176077"/>
    <w:rsid w:val="0017621B"/>
    <w:rsid w:val="00176C05"/>
    <w:rsid w:val="0017720A"/>
    <w:rsid w:val="0017778B"/>
    <w:rsid w:val="00177F39"/>
    <w:rsid w:val="00177F7E"/>
    <w:rsid w:val="001800B1"/>
    <w:rsid w:val="0018071F"/>
    <w:rsid w:val="00180F9A"/>
    <w:rsid w:val="0018158B"/>
    <w:rsid w:val="001815A5"/>
    <w:rsid w:val="00181B58"/>
    <w:rsid w:val="00181D4D"/>
    <w:rsid w:val="001832A3"/>
    <w:rsid w:val="0018342B"/>
    <w:rsid w:val="0018381F"/>
    <w:rsid w:val="001839B1"/>
    <w:rsid w:val="00183BBB"/>
    <w:rsid w:val="001908FB"/>
    <w:rsid w:val="00191C46"/>
    <w:rsid w:val="00192092"/>
    <w:rsid w:val="0019236E"/>
    <w:rsid w:val="001923C1"/>
    <w:rsid w:val="00192B01"/>
    <w:rsid w:val="00193B10"/>
    <w:rsid w:val="00193B1A"/>
    <w:rsid w:val="001940F0"/>
    <w:rsid w:val="001948DE"/>
    <w:rsid w:val="00194975"/>
    <w:rsid w:val="00194E07"/>
    <w:rsid w:val="00194F07"/>
    <w:rsid w:val="0019516E"/>
    <w:rsid w:val="0019529A"/>
    <w:rsid w:val="00195910"/>
    <w:rsid w:val="00195ADE"/>
    <w:rsid w:val="00195BDB"/>
    <w:rsid w:val="0019600B"/>
    <w:rsid w:val="001960E4"/>
    <w:rsid w:val="001966AA"/>
    <w:rsid w:val="00196DC3"/>
    <w:rsid w:val="00197136"/>
    <w:rsid w:val="001A09D3"/>
    <w:rsid w:val="001A0EC6"/>
    <w:rsid w:val="001A0EFE"/>
    <w:rsid w:val="001A1015"/>
    <w:rsid w:val="001A101F"/>
    <w:rsid w:val="001A12F5"/>
    <w:rsid w:val="001A1F6A"/>
    <w:rsid w:val="001A238F"/>
    <w:rsid w:val="001A26F8"/>
    <w:rsid w:val="001A2B66"/>
    <w:rsid w:val="001A2C4D"/>
    <w:rsid w:val="001A3785"/>
    <w:rsid w:val="001A42F8"/>
    <w:rsid w:val="001A440C"/>
    <w:rsid w:val="001A4577"/>
    <w:rsid w:val="001A4EE2"/>
    <w:rsid w:val="001A56B1"/>
    <w:rsid w:val="001A5FEC"/>
    <w:rsid w:val="001A6140"/>
    <w:rsid w:val="001A6F7F"/>
    <w:rsid w:val="001A7CE7"/>
    <w:rsid w:val="001B0452"/>
    <w:rsid w:val="001B1765"/>
    <w:rsid w:val="001B2493"/>
    <w:rsid w:val="001B2EB2"/>
    <w:rsid w:val="001B2F7D"/>
    <w:rsid w:val="001B400A"/>
    <w:rsid w:val="001B4905"/>
    <w:rsid w:val="001B4B51"/>
    <w:rsid w:val="001B4F2D"/>
    <w:rsid w:val="001B6453"/>
    <w:rsid w:val="001B68EC"/>
    <w:rsid w:val="001B72B3"/>
    <w:rsid w:val="001B752D"/>
    <w:rsid w:val="001B768F"/>
    <w:rsid w:val="001B7DEF"/>
    <w:rsid w:val="001C0EF5"/>
    <w:rsid w:val="001C0F16"/>
    <w:rsid w:val="001C1EE8"/>
    <w:rsid w:val="001C260B"/>
    <w:rsid w:val="001C2910"/>
    <w:rsid w:val="001C3E09"/>
    <w:rsid w:val="001C42B5"/>
    <w:rsid w:val="001C4964"/>
    <w:rsid w:val="001C4A57"/>
    <w:rsid w:val="001C4D80"/>
    <w:rsid w:val="001C51F7"/>
    <w:rsid w:val="001C5805"/>
    <w:rsid w:val="001C5B70"/>
    <w:rsid w:val="001C6674"/>
    <w:rsid w:val="001C7BA0"/>
    <w:rsid w:val="001C7C42"/>
    <w:rsid w:val="001C7CC4"/>
    <w:rsid w:val="001D0BF7"/>
    <w:rsid w:val="001D0DBE"/>
    <w:rsid w:val="001D1BDC"/>
    <w:rsid w:val="001D3307"/>
    <w:rsid w:val="001D3A37"/>
    <w:rsid w:val="001D4829"/>
    <w:rsid w:val="001D55D9"/>
    <w:rsid w:val="001D5DFA"/>
    <w:rsid w:val="001D637F"/>
    <w:rsid w:val="001D6AC5"/>
    <w:rsid w:val="001D6B6F"/>
    <w:rsid w:val="001D6D47"/>
    <w:rsid w:val="001D73C1"/>
    <w:rsid w:val="001D75DE"/>
    <w:rsid w:val="001D7DF5"/>
    <w:rsid w:val="001E0BAF"/>
    <w:rsid w:val="001E13E9"/>
    <w:rsid w:val="001E185C"/>
    <w:rsid w:val="001E18C0"/>
    <w:rsid w:val="001E1C8A"/>
    <w:rsid w:val="001E22F3"/>
    <w:rsid w:val="001E28D4"/>
    <w:rsid w:val="001E3860"/>
    <w:rsid w:val="001E3B8E"/>
    <w:rsid w:val="001E59DE"/>
    <w:rsid w:val="001E5B65"/>
    <w:rsid w:val="001E675E"/>
    <w:rsid w:val="001E6B13"/>
    <w:rsid w:val="001E70BA"/>
    <w:rsid w:val="001F01B9"/>
    <w:rsid w:val="001F020C"/>
    <w:rsid w:val="001F0307"/>
    <w:rsid w:val="001F0683"/>
    <w:rsid w:val="001F19B3"/>
    <w:rsid w:val="001F2B3D"/>
    <w:rsid w:val="001F2F46"/>
    <w:rsid w:val="001F3853"/>
    <w:rsid w:val="001F3B25"/>
    <w:rsid w:val="001F3C4C"/>
    <w:rsid w:val="001F3CEC"/>
    <w:rsid w:val="001F4D95"/>
    <w:rsid w:val="001F558B"/>
    <w:rsid w:val="001F6717"/>
    <w:rsid w:val="001F6FF7"/>
    <w:rsid w:val="001F70D0"/>
    <w:rsid w:val="001F744E"/>
    <w:rsid w:val="001F7793"/>
    <w:rsid w:val="001F789E"/>
    <w:rsid w:val="001F78C6"/>
    <w:rsid w:val="00200159"/>
    <w:rsid w:val="00200579"/>
    <w:rsid w:val="0020113D"/>
    <w:rsid w:val="00202704"/>
    <w:rsid w:val="00202CAE"/>
    <w:rsid w:val="002032B2"/>
    <w:rsid w:val="00203B80"/>
    <w:rsid w:val="00203D59"/>
    <w:rsid w:val="00204446"/>
    <w:rsid w:val="00204599"/>
    <w:rsid w:val="002051A6"/>
    <w:rsid w:val="0020552F"/>
    <w:rsid w:val="00205771"/>
    <w:rsid w:val="00205A45"/>
    <w:rsid w:val="00205CED"/>
    <w:rsid w:val="0020660C"/>
    <w:rsid w:val="0020661B"/>
    <w:rsid w:val="002066C8"/>
    <w:rsid w:val="002072CB"/>
    <w:rsid w:val="00207874"/>
    <w:rsid w:val="00207987"/>
    <w:rsid w:val="0021045D"/>
    <w:rsid w:val="00210764"/>
    <w:rsid w:val="00211528"/>
    <w:rsid w:val="00211626"/>
    <w:rsid w:val="00211900"/>
    <w:rsid w:val="00213C12"/>
    <w:rsid w:val="002145FC"/>
    <w:rsid w:val="002154F2"/>
    <w:rsid w:val="00215A1A"/>
    <w:rsid w:val="00216190"/>
    <w:rsid w:val="00216504"/>
    <w:rsid w:val="00217D21"/>
    <w:rsid w:val="002203DB"/>
    <w:rsid w:val="00220681"/>
    <w:rsid w:val="00221546"/>
    <w:rsid w:val="00221E78"/>
    <w:rsid w:val="002223F3"/>
    <w:rsid w:val="00222A22"/>
    <w:rsid w:val="00222C19"/>
    <w:rsid w:val="0022445F"/>
    <w:rsid w:val="002251F8"/>
    <w:rsid w:val="002253A7"/>
    <w:rsid w:val="00225F8A"/>
    <w:rsid w:val="0022654F"/>
    <w:rsid w:val="002265EF"/>
    <w:rsid w:val="00226888"/>
    <w:rsid w:val="0022788F"/>
    <w:rsid w:val="00232333"/>
    <w:rsid w:val="002335B3"/>
    <w:rsid w:val="00233634"/>
    <w:rsid w:val="00233D7F"/>
    <w:rsid w:val="00233DA0"/>
    <w:rsid w:val="00235A11"/>
    <w:rsid w:val="0023677A"/>
    <w:rsid w:val="00236B7C"/>
    <w:rsid w:val="0023779C"/>
    <w:rsid w:val="0024010A"/>
    <w:rsid w:val="00240F6A"/>
    <w:rsid w:val="00240F99"/>
    <w:rsid w:val="002414AC"/>
    <w:rsid w:val="0024153F"/>
    <w:rsid w:val="00241CBC"/>
    <w:rsid w:val="00242EEE"/>
    <w:rsid w:val="00243A42"/>
    <w:rsid w:val="002455BE"/>
    <w:rsid w:val="002464A2"/>
    <w:rsid w:val="0024674C"/>
    <w:rsid w:val="00250D85"/>
    <w:rsid w:val="002513CE"/>
    <w:rsid w:val="002520AF"/>
    <w:rsid w:val="002526CF"/>
    <w:rsid w:val="002531BC"/>
    <w:rsid w:val="00253583"/>
    <w:rsid w:val="002536A6"/>
    <w:rsid w:val="002537A2"/>
    <w:rsid w:val="00253A9C"/>
    <w:rsid w:val="002541E4"/>
    <w:rsid w:val="002555CF"/>
    <w:rsid w:val="00255B5A"/>
    <w:rsid w:val="00256EE3"/>
    <w:rsid w:val="00257539"/>
    <w:rsid w:val="00257633"/>
    <w:rsid w:val="00257863"/>
    <w:rsid w:val="002608D8"/>
    <w:rsid w:val="00261713"/>
    <w:rsid w:val="00261F0F"/>
    <w:rsid w:val="00262284"/>
    <w:rsid w:val="0026250B"/>
    <w:rsid w:val="00262726"/>
    <w:rsid w:val="00262FA2"/>
    <w:rsid w:val="0026322F"/>
    <w:rsid w:val="0026333C"/>
    <w:rsid w:val="002641FC"/>
    <w:rsid w:val="00265DEB"/>
    <w:rsid w:val="002665AF"/>
    <w:rsid w:val="002669BA"/>
    <w:rsid w:val="002678C8"/>
    <w:rsid w:val="002679F2"/>
    <w:rsid w:val="00270C7B"/>
    <w:rsid w:val="002712C8"/>
    <w:rsid w:val="00271B86"/>
    <w:rsid w:val="00271CE3"/>
    <w:rsid w:val="0027214D"/>
    <w:rsid w:val="0027222B"/>
    <w:rsid w:val="002728E4"/>
    <w:rsid w:val="00272BFD"/>
    <w:rsid w:val="00273018"/>
    <w:rsid w:val="002734F7"/>
    <w:rsid w:val="00273E4E"/>
    <w:rsid w:val="00274607"/>
    <w:rsid w:val="0027465C"/>
    <w:rsid w:val="00275369"/>
    <w:rsid w:val="002759B1"/>
    <w:rsid w:val="002771D0"/>
    <w:rsid w:val="0027788E"/>
    <w:rsid w:val="0027792F"/>
    <w:rsid w:val="00277D5E"/>
    <w:rsid w:val="002800DB"/>
    <w:rsid w:val="002804FF"/>
    <w:rsid w:val="002807D7"/>
    <w:rsid w:val="0028134C"/>
    <w:rsid w:val="00281D36"/>
    <w:rsid w:val="002820DE"/>
    <w:rsid w:val="002825BD"/>
    <w:rsid w:val="00282FA8"/>
    <w:rsid w:val="00283D6B"/>
    <w:rsid w:val="00283DA3"/>
    <w:rsid w:val="002841A3"/>
    <w:rsid w:val="00284213"/>
    <w:rsid w:val="002843F9"/>
    <w:rsid w:val="00284642"/>
    <w:rsid w:val="0028499E"/>
    <w:rsid w:val="00285E08"/>
    <w:rsid w:val="0028656D"/>
    <w:rsid w:val="00286872"/>
    <w:rsid w:val="00286B67"/>
    <w:rsid w:val="002870FB"/>
    <w:rsid w:val="002904AA"/>
    <w:rsid w:val="00291210"/>
    <w:rsid w:val="0029127B"/>
    <w:rsid w:val="002914C0"/>
    <w:rsid w:val="00291606"/>
    <w:rsid w:val="00291FBB"/>
    <w:rsid w:val="00292041"/>
    <w:rsid w:val="0029348C"/>
    <w:rsid w:val="002937FA"/>
    <w:rsid w:val="00293CA7"/>
    <w:rsid w:val="00294326"/>
    <w:rsid w:val="002947DF"/>
    <w:rsid w:val="00294AE8"/>
    <w:rsid w:val="00295B23"/>
    <w:rsid w:val="002962A9"/>
    <w:rsid w:val="00297DB4"/>
    <w:rsid w:val="00297E65"/>
    <w:rsid w:val="002A00C3"/>
    <w:rsid w:val="002A0785"/>
    <w:rsid w:val="002A18D9"/>
    <w:rsid w:val="002A2A00"/>
    <w:rsid w:val="002A2CE7"/>
    <w:rsid w:val="002A2E12"/>
    <w:rsid w:val="002A4329"/>
    <w:rsid w:val="002A436C"/>
    <w:rsid w:val="002A4BE7"/>
    <w:rsid w:val="002A59D9"/>
    <w:rsid w:val="002A606E"/>
    <w:rsid w:val="002A671E"/>
    <w:rsid w:val="002A7D4B"/>
    <w:rsid w:val="002A7DF9"/>
    <w:rsid w:val="002B0D39"/>
    <w:rsid w:val="002B104C"/>
    <w:rsid w:val="002B10CC"/>
    <w:rsid w:val="002B1ED8"/>
    <w:rsid w:val="002B2110"/>
    <w:rsid w:val="002B3DCA"/>
    <w:rsid w:val="002B40C9"/>
    <w:rsid w:val="002B4AF2"/>
    <w:rsid w:val="002B5251"/>
    <w:rsid w:val="002B59A4"/>
    <w:rsid w:val="002B5E95"/>
    <w:rsid w:val="002B625C"/>
    <w:rsid w:val="002B6B91"/>
    <w:rsid w:val="002B7136"/>
    <w:rsid w:val="002B7317"/>
    <w:rsid w:val="002B7B72"/>
    <w:rsid w:val="002C1940"/>
    <w:rsid w:val="002C2967"/>
    <w:rsid w:val="002C3197"/>
    <w:rsid w:val="002C3260"/>
    <w:rsid w:val="002C3785"/>
    <w:rsid w:val="002C3B28"/>
    <w:rsid w:val="002C41B5"/>
    <w:rsid w:val="002C46F7"/>
    <w:rsid w:val="002C506D"/>
    <w:rsid w:val="002C5AF0"/>
    <w:rsid w:val="002C5FE6"/>
    <w:rsid w:val="002C719D"/>
    <w:rsid w:val="002C74EC"/>
    <w:rsid w:val="002C77D5"/>
    <w:rsid w:val="002D01DA"/>
    <w:rsid w:val="002D0291"/>
    <w:rsid w:val="002D08CB"/>
    <w:rsid w:val="002D1194"/>
    <w:rsid w:val="002D209A"/>
    <w:rsid w:val="002D20D4"/>
    <w:rsid w:val="002D2329"/>
    <w:rsid w:val="002D2BBC"/>
    <w:rsid w:val="002D319A"/>
    <w:rsid w:val="002D35FA"/>
    <w:rsid w:val="002D4DDE"/>
    <w:rsid w:val="002D57F1"/>
    <w:rsid w:val="002D599F"/>
    <w:rsid w:val="002D5EDB"/>
    <w:rsid w:val="002D6E49"/>
    <w:rsid w:val="002D747B"/>
    <w:rsid w:val="002D76D0"/>
    <w:rsid w:val="002E1262"/>
    <w:rsid w:val="002E1386"/>
    <w:rsid w:val="002E15DE"/>
    <w:rsid w:val="002E24F4"/>
    <w:rsid w:val="002E3A3C"/>
    <w:rsid w:val="002E3CF6"/>
    <w:rsid w:val="002E4358"/>
    <w:rsid w:val="002E46D1"/>
    <w:rsid w:val="002E4BCD"/>
    <w:rsid w:val="002E559B"/>
    <w:rsid w:val="002E6C00"/>
    <w:rsid w:val="002E6E5E"/>
    <w:rsid w:val="002E6E71"/>
    <w:rsid w:val="002E769E"/>
    <w:rsid w:val="002F0D37"/>
    <w:rsid w:val="002F1C76"/>
    <w:rsid w:val="002F3827"/>
    <w:rsid w:val="002F46BD"/>
    <w:rsid w:val="002F49D2"/>
    <w:rsid w:val="002F4F14"/>
    <w:rsid w:val="002F54DF"/>
    <w:rsid w:val="002F690B"/>
    <w:rsid w:val="002F72A1"/>
    <w:rsid w:val="002F7346"/>
    <w:rsid w:val="002F75C0"/>
    <w:rsid w:val="002F7FE6"/>
    <w:rsid w:val="0030085E"/>
    <w:rsid w:val="003010A3"/>
    <w:rsid w:val="00302091"/>
    <w:rsid w:val="00303FD5"/>
    <w:rsid w:val="00304047"/>
    <w:rsid w:val="00304144"/>
    <w:rsid w:val="00305668"/>
    <w:rsid w:val="00305829"/>
    <w:rsid w:val="00305AC0"/>
    <w:rsid w:val="003065E7"/>
    <w:rsid w:val="00307562"/>
    <w:rsid w:val="0031069F"/>
    <w:rsid w:val="0031256B"/>
    <w:rsid w:val="003127FC"/>
    <w:rsid w:val="00312F4B"/>
    <w:rsid w:val="00314027"/>
    <w:rsid w:val="0031427E"/>
    <w:rsid w:val="003148D3"/>
    <w:rsid w:val="003148E1"/>
    <w:rsid w:val="00315239"/>
    <w:rsid w:val="0031575D"/>
    <w:rsid w:val="0031607D"/>
    <w:rsid w:val="0031634D"/>
    <w:rsid w:val="00316680"/>
    <w:rsid w:val="00316C7E"/>
    <w:rsid w:val="003172D1"/>
    <w:rsid w:val="00320990"/>
    <w:rsid w:val="00321098"/>
    <w:rsid w:val="003217F5"/>
    <w:rsid w:val="00321AB5"/>
    <w:rsid w:val="0032300C"/>
    <w:rsid w:val="0032347E"/>
    <w:rsid w:val="00323C65"/>
    <w:rsid w:val="00323D01"/>
    <w:rsid w:val="00323F34"/>
    <w:rsid w:val="00323F4D"/>
    <w:rsid w:val="0032426A"/>
    <w:rsid w:val="00325C0C"/>
    <w:rsid w:val="003261A8"/>
    <w:rsid w:val="00326D9A"/>
    <w:rsid w:val="003279AA"/>
    <w:rsid w:val="00327C8B"/>
    <w:rsid w:val="00330513"/>
    <w:rsid w:val="00330E50"/>
    <w:rsid w:val="00331CF0"/>
    <w:rsid w:val="00331E6E"/>
    <w:rsid w:val="00333153"/>
    <w:rsid w:val="0033351F"/>
    <w:rsid w:val="003341FD"/>
    <w:rsid w:val="00334258"/>
    <w:rsid w:val="003349D1"/>
    <w:rsid w:val="00334CDA"/>
    <w:rsid w:val="00334E02"/>
    <w:rsid w:val="003351B8"/>
    <w:rsid w:val="003371B2"/>
    <w:rsid w:val="003410B3"/>
    <w:rsid w:val="00341298"/>
    <w:rsid w:val="003418A9"/>
    <w:rsid w:val="00342061"/>
    <w:rsid w:val="00342072"/>
    <w:rsid w:val="00342377"/>
    <w:rsid w:val="0034253E"/>
    <w:rsid w:val="003445EE"/>
    <w:rsid w:val="00344AC6"/>
    <w:rsid w:val="00344CDE"/>
    <w:rsid w:val="0034564D"/>
    <w:rsid w:val="003459C8"/>
    <w:rsid w:val="00346155"/>
    <w:rsid w:val="003464A7"/>
    <w:rsid w:val="00346D75"/>
    <w:rsid w:val="003470B9"/>
    <w:rsid w:val="003473AC"/>
    <w:rsid w:val="00351CE9"/>
    <w:rsid w:val="00351E77"/>
    <w:rsid w:val="0035341E"/>
    <w:rsid w:val="003537AF"/>
    <w:rsid w:val="00354A81"/>
    <w:rsid w:val="00354FF7"/>
    <w:rsid w:val="0035533C"/>
    <w:rsid w:val="00355A73"/>
    <w:rsid w:val="00355E77"/>
    <w:rsid w:val="00356198"/>
    <w:rsid w:val="00356AE1"/>
    <w:rsid w:val="00356EC7"/>
    <w:rsid w:val="00361BEA"/>
    <w:rsid w:val="00361E2C"/>
    <w:rsid w:val="00361F18"/>
    <w:rsid w:val="00362819"/>
    <w:rsid w:val="00362DBE"/>
    <w:rsid w:val="00363556"/>
    <w:rsid w:val="00364108"/>
    <w:rsid w:val="00364F62"/>
    <w:rsid w:val="00365979"/>
    <w:rsid w:val="003668C9"/>
    <w:rsid w:val="00367C68"/>
    <w:rsid w:val="00367CD9"/>
    <w:rsid w:val="00367F33"/>
    <w:rsid w:val="0037016D"/>
    <w:rsid w:val="003724D8"/>
    <w:rsid w:val="00372673"/>
    <w:rsid w:val="003726E5"/>
    <w:rsid w:val="00372C8C"/>
    <w:rsid w:val="00374F7F"/>
    <w:rsid w:val="0037502C"/>
    <w:rsid w:val="00377EE0"/>
    <w:rsid w:val="00377F3C"/>
    <w:rsid w:val="0038046F"/>
    <w:rsid w:val="00380701"/>
    <w:rsid w:val="00380A7A"/>
    <w:rsid w:val="0038154B"/>
    <w:rsid w:val="00381F7E"/>
    <w:rsid w:val="003822F3"/>
    <w:rsid w:val="00382DB4"/>
    <w:rsid w:val="003830EF"/>
    <w:rsid w:val="00383A70"/>
    <w:rsid w:val="00384FB4"/>
    <w:rsid w:val="00385110"/>
    <w:rsid w:val="00385DC8"/>
    <w:rsid w:val="0038625F"/>
    <w:rsid w:val="003863BF"/>
    <w:rsid w:val="00386663"/>
    <w:rsid w:val="003869DF"/>
    <w:rsid w:val="00386C17"/>
    <w:rsid w:val="00387291"/>
    <w:rsid w:val="00387784"/>
    <w:rsid w:val="00387D02"/>
    <w:rsid w:val="00387F46"/>
    <w:rsid w:val="0039004E"/>
    <w:rsid w:val="003903AE"/>
    <w:rsid w:val="00391116"/>
    <w:rsid w:val="00391821"/>
    <w:rsid w:val="0039197D"/>
    <w:rsid w:val="00391B21"/>
    <w:rsid w:val="003923D2"/>
    <w:rsid w:val="003928D3"/>
    <w:rsid w:val="00392E1C"/>
    <w:rsid w:val="00393E50"/>
    <w:rsid w:val="00393F82"/>
    <w:rsid w:val="003940CA"/>
    <w:rsid w:val="00395B43"/>
    <w:rsid w:val="003A06F8"/>
    <w:rsid w:val="003A1317"/>
    <w:rsid w:val="003A157A"/>
    <w:rsid w:val="003A1A44"/>
    <w:rsid w:val="003A1FE3"/>
    <w:rsid w:val="003A4582"/>
    <w:rsid w:val="003A4648"/>
    <w:rsid w:val="003A53AD"/>
    <w:rsid w:val="003A6DCC"/>
    <w:rsid w:val="003A7236"/>
    <w:rsid w:val="003A7BEB"/>
    <w:rsid w:val="003B204B"/>
    <w:rsid w:val="003B25AE"/>
    <w:rsid w:val="003B3175"/>
    <w:rsid w:val="003B3278"/>
    <w:rsid w:val="003B3C00"/>
    <w:rsid w:val="003B3DB8"/>
    <w:rsid w:val="003B3FE5"/>
    <w:rsid w:val="003B407A"/>
    <w:rsid w:val="003B41F8"/>
    <w:rsid w:val="003B4382"/>
    <w:rsid w:val="003B599D"/>
    <w:rsid w:val="003B5D0A"/>
    <w:rsid w:val="003B60D4"/>
    <w:rsid w:val="003B74FA"/>
    <w:rsid w:val="003B7553"/>
    <w:rsid w:val="003B785B"/>
    <w:rsid w:val="003B797D"/>
    <w:rsid w:val="003B7A2E"/>
    <w:rsid w:val="003B7ECA"/>
    <w:rsid w:val="003C0109"/>
    <w:rsid w:val="003C02C8"/>
    <w:rsid w:val="003C0C39"/>
    <w:rsid w:val="003C1187"/>
    <w:rsid w:val="003C120E"/>
    <w:rsid w:val="003C245E"/>
    <w:rsid w:val="003C2554"/>
    <w:rsid w:val="003C2684"/>
    <w:rsid w:val="003C3517"/>
    <w:rsid w:val="003C3B3A"/>
    <w:rsid w:val="003C454F"/>
    <w:rsid w:val="003C4DFD"/>
    <w:rsid w:val="003C4F41"/>
    <w:rsid w:val="003C5630"/>
    <w:rsid w:val="003C58F5"/>
    <w:rsid w:val="003C6967"/>
    <w:rsid w:val="003C6C22"/>
    <w:rsid w:val="003C6D46"/>
    <w:rsid w:val="003C70E0"/>
    <w:rsid w:val="003C78C3"/>
    <w:rsid w:val="003C7976"/>
    <w:rsid w:val="003D1A37"/>
    <w:rsid w:val="003D298B"/>
    <w:rsid w:val="003D317F"/>
    <w:rsid w:val="003D31B1"/>
    <w:rsid w:val="003D33CF"/>
    <w:rsid w:val="003D3CD7"/>
    <w:rsid w:val="003D5118"/>
    <w:rsid w:val="003D5893"/>
    <w:rsid w:val="003D58E3"/>
    <w:rsid w:val="003D5CA6"/>
    <w:rsid w:val="003D6438"/>
    <w:rsid w:val="003D6CDB"/>
    <w:rsid w:val="003D73D3"/>
    <w:rsid w:val="003E0CCC"/>
    <w:rsid w:val="003E196B"/>
    <w:rsid w:val="003E1BAF"/>
    <w:rsid w:val="003E22E8"/>
    <w:rsid w:val="003E24FC"/>
    <w:rsid w:val="003E3068"/>
    <w:rsid w:val="003E31CC"/>
    <w:rsid w:val="003E361E"/>
    <w:rsid w:val="003E41AD"/>
    <w:rsid w:val="003E4454"/>
    <w:rsid w:val="003E4A70"/>
    <w:rsid w:val="003E5D64"/>
    <w:rsid w:val="003E6161"/>
    <w:rsid w:val="003E6861"/>
    <w:rsid w:val="003E6A14"/>
    <w:rsid w:val="003E7581"/>
    <w:rsid w:val="003F08FC"/>
    <w:rsid w:val="003F0962"/>
    <w:rsid w:val="003F0B4D"/>
    <w:rsid w:val="003F16E3"/>
    <w:rsid w:val="003F17FB"/>
    <w:rsid w:val="003F2D62"/>
    <w:rsid w:val="003F2DA7"/>
    <w:rsid w:val="003F32DE"/>
    <w:rsid w:val="003F33D1"/>
    <w:rsid w:val="003F3ADB"/>
    <w:rsid w:val="003F443F"/>
    <w:rsid w:val="003F4B9A"/>
    <w:rsid w:val="003F4E21"/>
    <w:rsid w:val="003F5520"/>
    <w:rsid w:val="003F5705"/>
    <w:rsid w:val="003F5739"/>
    <w:rsid w:val="003F614B"/>
    <w:rsid w:val="003F77DF"/>
    <w:rsid w:val="003F77EE"/>
    <w:rsid w:val="003F7EF1"/>
    <w:rsid w:val="00401098"/>
    <w:rsid w:val="00402289"/>
    <w:rsid w:val="00404F27"/>
    <w:rsid w:val="00405199"/>
    <w:rsid w:val="00405260"/>
    <w:rsid w:val="0040545F"/>
    <w:rsid w:val="00406F72"/>
    <w:rsid w:val="00410856"/>
    <w:rsid w:val="00410A53"/>
    <w:rsid w:val="00411022"/>
    <w:rsid w:val="00411A92"/>
    <w:rsid w:val="00411FF9"/>
    <w:rsid w:val="00412B16"/>
    <w:rsid w:val="0041453C"/>
    <w:rsid w:val="00415D45"/>
    <w:rsid w:val="004163F0"/>
    <w:rsid w:val="004171EF"/>
    <w:rsid w:val="004178C3"/>
    <w:rsid w:val="00417EC1"/>
    <w:rsid w:val="00420DAF"/>
    <w:rsid w:val="0042299C"/>
    <w:rsid w:val="00422AD0"/>
    <w:rsid w:val="00422C6F"/>
    <w:rsid w:val="00423FB7"/>
    <w:rsid w:val="004248D8"/>
    <w:rsid w:val="00425648"/>
    <w:rsid w:val="004261EE"/>
    <w:rsid w:val="00426330"/>
    <w:rsid w:val="00426B92"/>
    <w:rsid w:val="0042708D"/>
    <w:rsid w:val="00427870"/>
    <w:rsid w:val="00427A32"/>
    <w:rsid w:val="0043118B"/>
    <w:rsid w:val="00431346"/>
    <w:rsid w:val="0043304B"/>
    <w:rsid w:val="004337C2"/>
    <w:rsid w:val="0043381E"/>
    <w:rsid w:val="004340FC"/>
    <w:rsid w:val="00434A92"/>
    <w:rsid w:val="00435B74"/>
    <w:rsid w:val="00436073"/>
    <w:rsid w:val="00436DFE"/>
    <w:rsid w:val="00436F6E"/>
    <w:rsid w:val="00437E64"/>
    <w:rsid w:val="00437E7F"/>
    <w:rsid w:val="00441C45"/>
    <w:rsid w:val="00443783"/>
    <w:rsid w:val="00443D94"/>
    <w:rsid w:val="004443AA"/>
    <w:rsid w:val="004445CF"/>
    <w:rsid w:val="00445725"/>
    <w:rsid w:val="0044586C"/>
    <w:rsid w:val="004460BD"/>
    <w:rsid w:val="004461DC"/>
    <w:rsid w:val="00446328"/>
    <w:rsid w:val="004479CB"/>
    <w:rsid w:val="00451099"/>
    <w:rsid w:val="00451557"/>
    <w:rsid w:val="0045196C"/>
    <w:rsid w:val="00451B63"/>
    <w:rsid w:val="00452C13"/>
    <w:rsid w:val="004551F9"/>
    <w:rsid w:val="00455205"/>
    <w:rsid w:val="00455400"/>
    <w:rsid w:val="004557D5"/>
    <w:rsid w:val="0045594F"/>
    <w:rsid w:val="00455B6F"/>
    <w:rsid w:val="00456001"/>
    <w:rsid w:val="00456EB7"/>
    <w:rsid w:val="004577F7"/>
    <w:rsid w:val="00457895"/>
    <w:rsid w:val="00457F61"/>
    <w:rsid w:val="0046019F"/>
    <w:rsid w:val="00460CD4"/>
    <w:rsid w:val="00460CDE"/>
    <w:rsid w:val="004616FF"/>
    <w:rsid w:val="00462648"/>
    <w:rsid w:val="004628BA"/>
    <w:rsid w:val="004636ED"/>
    <w:rsid w:val="004639C9"/>
    <w:rsid w:val="004648A0"/>
    <w:rsid w:val="0046511C"/>
    <w:rsid w:val="00465186"/>
    <w:rsid w:val="004656F6"/>
    <w:rsid w:val="00465924"/>
    <w:rsid w:val="004663F1"/>
    <w:rsid w:val="00467702"/>
    <w:rsid w:val="0046772F"/>
    <w:rsid w:val="00470E86"/>
    <w:rsid w:val="004742F5"/>
    <w:rsid w:val="0047442E"/>
    <w:rsid w:val="0047486B"/>
    <w:rsid w:val="00474C11"/>
    <w:rsid w:val="00475212"/>
    <w:rsid w:val="00475B49"/>
    <w:rsid w:val="0047633F"/>
    <w:rsid w:val="00476CC5"/>
    <w:rsid w:val="0047720A"/>
    <w:rsid w:val="00480EA7"/>
    <w:rsid w:val="00481842"/>
    <w:rsid w:val="00481AA9"/>
    <w:rsid w:val="00481C31"/>
    <w:rsid w:val="0048236A"/>
    <w:rsid w:val="004824E0"/>
    <w:rsid w:val="00482611"/>
    <w:rsid w:val="004837DB"/>
    <w:rsid w:val="00483C4A"/>
    <w:rsid w:val="00483C69"/>
    <w:rsid w:val="00484C34"/>
    <w:rsid w:val="00485E31"/>
    <w:rsid w:val="00486953"/>
    <w:rsid w:val="00487608"/>
    <w:rsid w:val="00487AF5"/>
    <w:rsid w:val="00487D74"/>
    <w:rsid w:val="004910ED"/>
    <w:rsid w:val="00491CD3"/>
    <w:rsid w:val="00492450"/>
    <w:rsid w:val="004926C9"/>
    <w:rsid w:val="0049390F"/>
    <w:rsid w:val="00493973"/>
    <w:rsid w:val="00493BFD"/>
    <w:rsid w:val="00494BBE"/>
    <w:rsid w:val="004952C3"/>
    <w:rsid w:val="0049542E"/>
    <w:rsid w:val="004968B6"/>
    <w:rsid w:val="0049708F"/>
    <w:rsid w:val="0049722B"/>
    <w:rsid w:val="004A0C06"/>
    <w:rsid w:val="004A0FEA"/>
    <w:rsid w:val="004A1200"/>
    <w:rsid w:val="004A187E"/>
    <w:rsid w:val="004A1BB5"/>
    <w:rsid w:val="004A1C88"/>
    <w:rsid w:val="004A273F"/>
    <w:rsid w:val="004A2B39"/>
    <w:rsid w:val="004A2CDD"/>
    <w:rsid w:val="004A2F40"/>
    <w:rsid w:val="004A36DC"/>
    <w:rsid w:val="004A3797"/>
    <w:rsid w:val="004A3D74"/>
    <w:rsid w:val="004A48C9"/>
    <w:rsid w:val="004A526A"/>
    <w:rsid w:val="004A5EFD"/>
    <w:rsid w:val="004A6838"/>
    <w:rsid w:val="004A7E22"/>
    <w:rsid w:val="004B04F5"/>
    <w:rsid w:val="004B0DCC"/>
    <w:rsid w:val="004B1524"/>
    <w:rsid w:val="004B2BF0"/>
    <w:rsid w:val="004B2E91"/>
    <w:rsid w:val="004B3412"/>
    <w:rsid w:val="004B3B05"/>
    <w:rsid w:val="004B3C4F"/>
    <w:rsid w:val="004B3D48"/>
    <w:rsid w:val="004B473A"/>
    <w:rsid w:val="004B4B4C"/>
    <w:rsid w:val="004B4EFD"/>
    <w:rsid w:val="004B4F5A"/>
    <w:rsid w:val="004B5710"/>
    <w:rsid w:val="004B73D1"/>
    <w:rsid w:val="004B7CE1"/>
    <w:rsid w:val="004C050F"/>
    <w:rsid w:val="004C0DE1"/>
    <w:rsid w:val="004C10D5"/>
    <w:rsid w:val="004C13D7"/>
    <w:rsid w:val="004C194B"/>
    <w:rsid w:val="004C1A65"/>
    <w:rsid w:val="004C24E8"/>
    <w:rsid w:val="004C2799"/>
    <w:rsid w:val="004C33A8"/>
    <w:rsid w:val="004C3FC8"/>
    <w:rsid w:val="004C523C"/>
    <w:rsid w:val="004C5A4B"/>
    <w:rsid w:val="004C5B80"/>
    <w:rsid w:val="004C5D63"/>
    <w:rsid w:val="004C6C76"/>
    <w:rsid w:val="004C74CB"/>
    <w:rsid w:val="004C7968"/>
    <w:rsid w:val="004D031D"/>
    <w:rsid w:val="004D0427"/>
    <w:rsid w:val="004D055F"/>
    <w:rsid w:val="004D0F51"/>
    <w:rsid w:val="004D1899"/>
    <w:rsid w:val="004D25BB"/>
    <w:rsid w:val="004D28C8"/>
    <w:rsid w:val="004D2B73"/>
    <w:rsid w:val="004D3007"/>
    <w:rsid w:val="004D3224"/>
    <w:rsid w:val="004D3FD3"/>
    <w:rsid w:val="004D410D"/>
    <w:rsid w:val="004D451C"/>
    <w:rsid w:val="004D4D94"/>
    <w:rsid w:val="004D614F"/>
    <w:rsid w:val="004D635A"/>
    <w:rsid w:val="004D7300"/>
    <w:rsid w:val="004E16CA"/>
    <w:rsid w:val="004E1780"/>
    <w:rsid w:val="004E3716"/>
    <w:rsid w:val="004E3855"/>
    <w:rsid w:val="004E3880"/>
    <w:rsid w:val="004E40EA"/>
    <w:rsid w:val="004E5893"/>
    <w:rsid w:val="004E5E39"/>
    <w:rsid w:val="004E650A"/>
    <w:rsid w:val="004E7010"/>
    <w:rsid w:val="004E740E"/>
    <w:rsid w:val="004E7A01"/>
    <w:rsid w:val="004E7F8F"/>
    <w:rsid w:val="004F0103"/>
    <w:rsid w:val="004F0500"/>
    <w:rsid w:val="004F07A2"/>
    <w:rsid w:val="004F0FD8"/>
    <w:rsid w:val="004F184A"/>
    <w:rsid w:val="004F1913"/>
    <w:rsid w:val="004F2254"/>
    <w:rsid w:val="004F27AE"/>
    <w:rsid w:val="004F2C6D"/>
    <w:rsid w:val="004F3827"/>
    <w:rsid w:val="004F3D00"/>
    <w:rsid w:val="004F4E4D"/>
    <w:rsid w:val="004F5204"/>
    <w:rsid w:val="004F5524"/>
    <w:rsid w:val="004F5621"/>
    <w:rsid w:val="004F5B40"/>
    <w:rsid w:val="004F5FD9"/>
    <w:rsid w:val="004F6D89"/>
    <w:rsid w:val="004F6E31"/>
    <w:rsid w:val="004F7FA3"/>
    <w:rsid w:val="00500300"/>
    <w:rsid w:val="005003C8"/>
    <w:rsid w:val="005017D6"/>
    <w:rsid w:val="00502A23"/>
    <w:rsid w:val="00502BEA"/>
    <w:rsid w:val="00503906"/>
    <w:rsid w:val="00504DEB"/>
    <w:rsid w:val="00506FB2"/>
    <w:rsid w:val="0050721F"/>
    <w:rsid w:val="00507293"/>
    <w:rsid w:val="0050761F"/>
    <w:rsid w:val="00507DBB"/>
    <w:rsid w:val="0051057F"/>
    <w:rsid w:val="00511B3B"/>
    <w:rsid w:val="00511EA3"/>
    <w:rsid w:val="005130B0"/>
    <w:rsid w:val="00513563"/>
    <w:rsid w:val="00515479"/>
    <w:rsid w:val="0051586E"/>
    <w:rsid w:val="00516291"/>
    <w:rsid w:val="005168E9"/>
    <w:rsid w:val="005169A8"/>
    <w:rsid w:val="005170E2"/>
    <w:rsid w:val="005174AF"/>
    <w:rsid w:val="0051768B"/>
    <w:rsid w:val="00517814"/>
    <w:rsid w:val="00517AF1"/>
    <w:rsid w:val="00517B38"/>
    <w:rsid w:val="00520441"/>
    <w:rsid w:val="005204D1"/>
    <w:rsid w:val="005217BE"/>
    <w:rsid w:val="00521EA1"/>
    <w:rsid w:val="005230E4"/>
    <w:rsid w:val="00523250"/>
    <w:rsid w:val="00524D78"/>
    <w:rsid w:val="00524F4B"/>
    <w:rsid w:val="00525369"/>
    <w:rsid w:val="00526047"/>
    <w:rsid w:val="00526774"/>
    <w:rsid w:val="00526805"/>
    <w:rsid w:val="005273D1"/>
    <w:rsid w:val="00530324"/>
    <w:rsid w:val="00532032"/>
    <w:rsid w:val="00532786"/>
    <w:rsid w:val="00532C12"/>
    <w:rsid w:val="005332E5"/>
    <w:rsid w:val="0053349D"/>
    <w:rsid w:val="00533880"/>
    <w:rsid w:val="00533CD3"/>
    <w:rsid w:val="0053527C"/>
    <w:rsid w:val="005356E1"/>
    <w:rsid w:val="00535B12"/>
    <w:rsid w:val="0053616F"/>
    <w:rsid w:val="005374AE"/>
    <w:rsid w:val="00537557"/>
    <w:rsid w:val="00542A02"/>
    <w:rsid w:val="00542A95"/>
    <w:rsid w:val="00543326"/>
    <w:rsid w:val="005436EF"/>
    <w:rsid w:val="00544473"/>
    <w:rsid w:val="005447E2"/>
    <w:rsid w:val="00544F57"/>
    <w:rsid w:val="00545192"/>
    <w:rsid w:val="005451B0"/>
    <w:rsid w:val="00545C50"/>
    <w:rsid w:val="00546492"/>
    <w:rsid w:val="00546623"/>
    <w:rsid w:val="005502E3"/>
    <w:rsid w:val="00551739"/>
    <w:rsid w:val="00551DB0"/>
    <w:rsid w:val="005526AD"/>
    <w:rsid w:val="00553BA2"/>
    <w:rsid w:val="005540FE"/>
    <w:rsid w:val="005541D2"/>
    <w:rsid w:val="0055644F"/>
    <w:rsid w:val="0055692B"/>
    <w:rsid w:val="0055756E"/>
    <w:rsid w:val="005609A1"/>
    <w:rsid w:val="00560C8B"/>
    <w:rsid w:val="00561034"/>
    <w:rsid w:val="005613F1"/>
    <w:rsid w:val="00562785"/>
    <w:rsid w:val="005628FF"/>
    <w:rsid w:val="005629C4"/>
    <w:rsid w:val="00562F8D"/>
    <w:rsid w:val="0056312D"/>
    <w:rsid w:val="00563FAC"/>
    <w:rsid w:val="00565134"/>
    <w:rsid w:val="005654EB"/>
    <w:rsid w:val="00565659"/>
    <w:rsid w:val="00566186"/>
    <w:rsid w:val="00566DAD"/>
    <w:rsid w:val="00567326"/>
    <w:rsid w:val="00567B63"/>
    <w:rsid w:val="00567CC4"/>
    <w:rsid w:val="00570259"/>
    <w:rsid w:val="0057125E"/>
    <w:rsid w:val="005719E0"/>
    <w:rsid w:val="00571EFE"/>
    <w:rsid w:val="00573222"/>
    <w:rsid w:val="0057325C"/>
    <w:rsid w:val="005737A8"/>
    <w:rsid w:val="00574870"/>
    <w:rsid w:val="0057565C"/>
    <w:rsid w:val="00575C0F"/>
    <w:rsid w:val="0057616B"/>
    <w:rsid w:val="0057623D"/>
    <w:rsid w:val="005771AF"/>
    <w:rsid w:val="00577745"/>
    <w:rsid w:val="00577E73"/>
    <w:rsid w:val="00577F81"/>
    <w:rsid w:val="00580552"/>
    <w:rsid w:val="0058058D"/>
    <w:rsid w:val="00581FCC"/>
    <w:rsid w:val="00582F2B"/>
    <w:rsid w:val="00583627"/>
    <w:rsid w:val="0058398B"/>
    <w:rsid w:val="00584A0F"/>
    <w:rsid w:val="00584D30"/>
    <w:rsid w:val="0058573D"/>
    <w:rsid w:val="00585803"/>
    <w:rsid w:val="00586BFD"/>
    <w:rsid w:val="00586CB2"/>
    <w:rsid w:val="00587172"/>
    <w:rsid w:val="00590309"/>
    <w:rsid w:val="005914ED"/>
    <w:rsid w:val="00591662"/>
    <w:rsid w:val="00592142"/>
    <w:rsid w:val="005923E2"/>
    <w:rsid w:val="00592602"/>
    <w:rsid w:val="00592A7A"/>
    <w:rsid w:val="00593185"/>
    <w:rsid w:val="005932BE"/>
    <w:rsid w:val="0059384D"/>
    <w:rsid w:val="00593CFF"/>
    <w:rsid w:val="00594881"/>
    <w:rsid w:val="00594B08"/>
    <w:rsid w:val="00594B36"/>
    <w:rsid w:val="00594B54"/>
    <w:rsid w:val="005953C1"/>
    <w:rsid w:val="00595699"/>
    <w:rsid w:val="00596869"/>
    <w:rsid w:val="00597599"/>
    <w:rsid w:val="00597D2B"/>
    <w:rsid w:val="005A006F"/>
    <w:rsid w:val="005A06CD"/>
    <w:rsid w:val="005A074F"/>
    <w:rsid w:val="005A0771"/>
    <w:rsid w:val="005A1AFD"/>
    <w:rsid w:val="005A1DFB"/>
    <w:rsid w:val="005A2362"/>
    <w:rsid w:val="005A2C72"/>
    <w:rsid w:val="005A3377"/>
    <w:rsid w:val="005A3519"/>
    <w:rsid w:val="005A3AA9"/>
    <w:rsid w:val="005A4A72"/>
    <w:rsid w:val="005A4AA6"/>
    <w:rsid w:val="005A5627"/>
    <w:rsid w:val="005A652E"/>
    <w:rsid w:val="005A69D0"/>
    <w:rsid w:val="005B25EE"/>
    <w:rsid w:val="005B29BA"/>
    <w:rsid w:val="005B2C53"/>
    <w:rsid w:val="005B2D53"/>
    <w:rsid w:val="005B3A90"/>
    <w:rsid w:val="005B41DB"/>
    <w:rsid w:val="005B4607"/>
    <w:rsid w:val="005B46EF"/>
    <w:rsid w:val="005B475B"/>
    <w:rsid w:val="005B5317"/>
    <w:rsid w:val="005B5B8A"/>
    <w:rsid w:val="005B69A9"/>
    <w:rsid w:val="005B69EF"/>
    <w:rsid w:val="005B6FF8"/>
    <w:rsid w:val="005B71BE"/>
    <w:rsid w:val="005B7BC1"/>
    <w:rsid w:val="005B7BF2"/>
    <w:rsid w:val="005C0F54"/>
    <w:rsid w:val="005C12BC"/>
    <w:rsid w:val="005C17A9"/>
    <w:rsid w:val="005C191A"/>
    <w:rsid w:val="005C20BC"/>
    <w:rsid w:val="005C254E"/>
    <w:rsid w:val="005C2AF2"/>
    <w:rsid w:val="005C2F79"/>
    <w:rsid w:val="005C359A"/>
    <w:rsid w:val="005C378E"/>
    <w:rsid w:val="005C389A"/>
    <w:rsid w:val="005C449F"/>
    <w:rsid w:val="005C5675"/>
    <w:rsid w:val="005C5A9D"/>
    <w:rsid w:val="005C6125"/>
    <w:rsid w:val="005C7F0B"/>
    <w:rsid w:val="005D069C"/>
    <w:rsid w:val="005D07CC"/>
    <w:rsid w:val="005D0A37"/>
    <w:rsid w:val="005D0BC2"/>
    <w:rsid w:val="005D13F7"/>
    <w:rsid w:val="005D1BA8"/>
    <w:rsid w:val="005D2BB5"/>
    <w:rsid w:val="005D33CC"/>
    <w:rsid w:val="005D37B9"/>
    <w:rsid w:val="005D382B"/>
    <w:rsid w:val="005D3F6A"/>
    <w:rsid w:val="005D4B92"/>
    <w:rsid w:val="005D7142"/>
    <w:rsid w:val="005D7688"/>
    <w:rsid w:val="005D7707"/>
    <w:rsid w:val="005D7937"/>
    <w:rsid w:val="005E01A7"/>
    <w:rsid w:val="005E0766"/>
    <w:rsid w:val="005E1290"/>
    <w:rsid w:val="005E1CA8"/>
    <w:rsid w:val="005E2601"/>
    <w:rsid w:val="005E2714"/>
    <w:rsid w:val="005E27C6"/>
    <w:rsid w:val="005E2AD3"/>
    <w:rsid w:val="005E3538"/>
    <w:rsid w:val="005E3FF7"/>
    <w:rsid w:val="005E4131"/>
    <w:rsid w:val="005E422E"/>
    <w:rsid w:val="005E48DE"/>
    <w:rsid w:val="005E4A56"/>
    <w:rsid w:val="005E4B6E"/>
    <w:rsid w:val="005E52A0"/>
    <w:rsid w:val="005E5369"/>
    <w:rsid w:val="005E7087"/>
    <w:rsid w:val="005E71A8"/>
    <w:rsid w:val="005E7E21"/>
    <w:rsid w:val="005F0ABE"/>
    <w:rsid w:val="005F125E"/>
    <w:rsid w:val="005F180B"/>
    <w:rsid w:val="005F2487"/>
    <w:rsid w:val="005F25E6"/>
    <w:rsid w:val="005F2BF3"/>
    <w:rsid w:val="005F2F9E"/>
    <w:rsid w:val="005F3512"/>
    <w:rsid w:val="005F6031"/>
    <w:rsid w:val="005F643B"/>
    <w:rsid w:val="005F6956"/>
    <w:rsid w:val="005F6DDC"/>
    <w:rsid w:val="005F7C19"/>
    <w:rsid w:val="005F7FE2"/>
    <w:rsid w:val="006009BE"/>
    <w:rsid w:val="00600E4E"/>
    <w:rsid w:val="006028F5"/>
    <w:rsid w:val="006032E8"/>
    <w:rsid w:val="00604DDB"/>
    <w:rsid w:val="0060687F"/>
    <w:rsid w:val="00607285"/>
    <w:rsid w:val="006077EB"/>
    <w:rsid w:val="00607D6E"/>
    <w:rsid w:val="00610678"/>
    <w:rsid w:val="00611A65"/>
    <w:rsid w:val="0061258A"/>
    <w:rsid w:val="00612756"/>
    <w:rsid w:val="00612F6C"/>
    <w:rsid w:val="00614110"/>
    <w:rsid w:val="0061432F"/>
    <w:rsid w:val="00614617"/>
    <w:rsid w:val="00615E9B"/>
    <w:rsid w:val="00616607"/>
    <w:rsid w:val="006169E4"/>
    <w:rsid w:val="00617081"/>
    <w:rsid w:val="00617127"/>
    <w:rsid w:val="006173BA"/>
    <w:rsid w:val="00617BE5"/>
    <w:rsid w:val="00620143"/>
    <w:rsid w:val="006214AB"/>
    <w:rsid w:val="0062185A"/>
    <w:rsid w:val="00621B12"/>
    <w:rsid w:val="00622CBF"/>
    <w:rsid w:val="0062354C"/>
    <w:rsid w:val="00623B20"/>
    <w:rsid w:val="00623C2E"/>
    <w:rsid w:val="00623F7A"/>
    <w:rsid w:val="006241D8"/>
    <w:rsid w:val="0062510A"/>
    <w:rsid w:val="006254BD"/>
    <w:rsid w:val="006255CC"/>
    <w:rsid w:val="0062560C"/>
    <w:rsid w:val="0062577C"/>
    <w:rsid w:val="006257E4"/>
    <w:rsid w:val="00625B22"/>
    <w:rsid w:val="00625E2B"/>
    <w:rsid w:val="006266BC"/>
    <w:rsid w:val="00627128"/>
    <w:rsid w:val="00627A06"/>
    <w:rsid w:val="00627FEE"/>
    <w:rsid w:val="006307AA"/>
    <w:rsid w:val="00631CFB"/>
    <w:rsid w:val="00632C31"/>
    <w:rsid w:val="00632CFF"/>
    <w:rsid w:val="00633461"/>
    <w:rsid w:val="006336E8"/>
    <w:rsid w:val="00633941"/>
    <w:rsid w:val="00633F40"/>
    <w:rsid w:val="00634B46"/>
    <w:rsid w:val="0063619A"/>
    <w:rsid w:val="0063655F"/>
    <w:rsid w:val="006365E8"/>
    <w:rsid w:val="00637597"/>
    <w:rsid w:val="0063781E"/>
    <w:rsid w:val="00637999"/>
    <w:rsid w:val="00637E7C"/>
    <w:rsid w:val="0064027F"/>
    <w:rsid w:val="0064066E"/>
    <w:rsid w:val="00640EB5"/>
    <w:rsid w:val="00641310"/>
    <w:rsid w:val="0064234D"/>
    <w:rsid w:val="00642C4A"/>
    <w:rsid w:val="00642DA8"/>
    <w:rsid w:val="00643D2A"/>
    <w:rsid w:val="0064413E"/>
    <w:rsid w:val="00644393"/>
    <w:rsid w:val="00644AD0"/>
    <w:rsid w:val="006456CD"/>
    <w:rsid w:val="006461CA"/>
    <w:rsid w:val="0064672F"/>
    <w:rsid w:val="00646CBE"/>
    <w:rsid w:val="00647777"/>
    <w:rsid w:val="00647C6F"/>
    <w:rsid w:val="00647FE4"/>
    <w:rsid w:val="00650713"/>
    <w:rsid w:val="006515B6"/>
    <w:rsid w:val="006519B4"/>
    <w:rsid w:val="0065205F"/>
    <w:rsid w:val="00652F8E"/>
    <w:rsid w:val="006531F6"/>
    <w:rsid w:val="00653763"/>
    <w:rsid w:val="00654097"/>
    <w:rsid w:val="006540EA"/>
    <w:rsid w:val="0065463B"/>
    <w:rsid w:val="006547E2"/>
    <w:rsid w:val="006548D1"/>
    <w:rsid w:val="006570DF"/>
    <w:rsid w:val="00657440"/>
    <w:rsid w:val="00657998"/>
    <w:rsid w:val="00660FC1"/>
    <w:rsid w:val="00661E07"/>
    <w:rsid w:val="006623DF"/>
    <w:rsid w:val="006623FB"/>
    <w:rsid w:val="00662CE9"/>
    <w:rsid w:val="00664848"/>
    <w:rsid w:val="006659D8"/>
    <w:rsid w:val="00665AB4"/>
    <w:rsid w:val="00666198"/>
    <w:rsid w:val="006661EE"/>
    <w:rsid w:val="0066786D"/>
    <w:rsid w:val="00671145"/>
    <w:rsid w:val="006720E2"/>
    <w:rsid w:val="00672165"/>
    <w:rsid w:val="006721AC"/>
    <w:rsid w:val="0067395E"/>
    <w:rsid w:val="00673B13"/>
    <w:rsid w:val="006744C8"/>
    <w:rsid w:val="006745F9"/>
    <w:rsid w:val="00674F0A"/>
    <w:rsid w:val="00675813"/>
    <w:rsid w:val="00675A6D"/>
    <w:rsid w:val="00676DF3"/>
    <w:rsid w:val="00676F93"/>
    <w:rsid w:val="006770EC"/>
    <w:rsid w:val="00677481"/>
    <w:rsid w:val="00677A61"/>
    <w:rsid w:val="00677E4D"/>
    <w:rsid w:val="00680530"/>
    <w:rsid w:val="0068118D"/>
    <w:rsid w:val="00681EDE"/>
    <w:rsid w:val="00682889"/>
    <w:rsid w:val="00682D46"/>
    <w:rsid w:val="0068327B"/>
    <w:rsid w:val="00683BD1"/>
    <w:rsid w:val="00683F2E"/>
    <w:rsid w:val="00684ADB"/>
    <w:rsid w:val="006852E4"/>
    <w:rsid w:val="006858F9"/>
    <w:rsid w:val="0068639D"/>
    <w:rsid w:val="006864B3"/>
    <w:rsid w:val="00686A59"/>
    <w:rsid w:val="00687465"/>
    <w:rsid w:val="006924A8"/>
    <w:rsid w:val="00692D43"/>
    <w:rsid w:val="00693007"/>
    <w:rsid w:val="00693C5E"/>
    <w:rsid w:val="00695643"/>
    <w:rsid w:val="006968F0"/>
    <w:rsid w:val="00697C4C"/>
    <w:rsid w:val="006A0C36"/>
    <w:rsid w:val="006A0CEF"/>
    <w:rsid w:val="006A0FDB"/>
    <w:rsid w:val="006A1794"/>
    <w:rsid w:val="006A233B"/>
    <w:rsid w:val="006A292E"/>
    <w:rsid w:val="006A29F3"/>
    <w:rsid w:val="006A2D69"/>
    <w:rsid w:val="006A2DB8"/>
    <w:rsid w:val="006A392B"/>
    <w:rsid w:val="006A3BD1"/>
    <w:rsid w:val="006A47B8"/>
    <w:rsid w:val="006A4B6D"/>
    <w:rsid w:val="006A5803"/>
    <w:rsid w:val="006A6473"/>
    <w:rsid w:val="006A664D"/>
    <w:rsid w:val="006A681E"/>
    <w:rsid w:val="006A6988"/>
    <w:rsid w:val="006A6B4A"/>
    <w:rsid w:val="006A6D23"/>
    <w:rsid w:val="006A70B5"/>
    <w:rsid w:val="006B0639"/>
    <w:rsid w:val="006B0B23"/>
    <w:rsid w:val="006B0D85"/>
    <w:rsid w:val="006B0E89"/>
    <w:rsid w:val="006B238E"/>
    <w:rsid w:val="006B3055"/>
    <w:rsid w:val="006B3E21"/>
    <w:rsid w:val="006B4773"/>
    <w:rsid w:val="006B4BCF"/>
    <w:rsid w:val="006B550E"/>
    <w:rsid w:val="006B557D"/>
    <w:rsid w:val="006B5B37"/>
    <w:rsid w:val="006B617B"/>
    <w:rsid w:val="006B6C84"/>
    <w:rsid w:val="006B7869"/>
    <w:rsid w:val="006C05C9"/>
    <w:rsid w:val="006C0B79"/>
    <w:rsid w:val="006C0EA0"/>
    <w:rsid w:val="006C11CA"/>
    <w:rsid w:val="006C18BE"/>
    <w:rsid w:val="006C18DF"/>
    <w:rsid w:val="006C1928"/>
    <w:rsid w:val="006C19C1"/>
    <w:rsid w:val="006C3245"/>
    <w:rsid w:val="006C35FA"/>
    <w:rsid w:val="006C3D4C"/>
    <w:rsid w:val="006C55A6"/>
    <w:rsid w:val="006C5CE9"/>
    <w:rsid w:val="006C6C54"/>
    <w:rsid w:val="006C7C5F"/>
    <w:rsid w:val="006D0162"/>
    <w:rsid w:val="006D06D6"/>
    <w:rsid w:val="006D1BB8"/>
    <w:rsid w:val="006D2457"/>
    <w:rsid w:val="006D30C7"/>
    <w:rsid w:val="006D38DE"/>
    <w:rsid w:val="006D48A8"/>
    <w:rsid w:val="006D5604"/>
    <w:rsid w:val="006D5C9A"/>
    <w:rsid w:val="006D5F71"/>
    <w:rsid w:val="006D6327"/>
    <w:rsid w:val="006D6EC5"/>
    <w:rsid w:val="006D7152"/>
    <w:rsid w:val="006D7A5F"/>
    <w:rsid w:val="006E0AA3"/>
    <w:rsid w:val="006E0CE7"/>
    <w:rsid w:val="006E0F8C"/>
    <w:rsid w:val="006E1480"/>
    <w:rsid w:val="006E1942"/>
    <w:rsid w:val="006E29CC"/>
    <w:rsid w:val="006E2EF0"/>
    <w:rsid w:val="006E33C8"/>
    <w:rsid w:val="006E33F1"/>
    <w:rsid w:val="006E3A47"/>
    <w:rsid w:val="006E4DF3"/>
    <w:rsid w:val="006E5793"/>
    <w:rsid w:val="006E57B5"/>
    <w:rsid w:val="006E5AAB"/>
    <w:rsid w:val="006E6A00"/>
    <w:rsid w:val="006E70C3"/>
    <w:rsid w:val="006E70FE"/>
    <w:rsid w:val="006F0A64"/>
    <w:rsid w:val="006F1188"/>
    <w:rsid w:val="006F242F"/>
    <w:rsid w:val="006F2A1D"/>
    <w:rsid w:val="006F2BA6"/>
    <w:rsid w:val="006F2E7F"/>
    <w:rsid w:val="006F3886"/>
    <w:rsid w:val="006F39D5"/>
    <w:rsid w:val="006F3BA3"/>
    <w:rsid w:val="006F3FFF"/>
    <w:rsid w:val="006F4E69"/>
    <w:rsid w:val="006F5766"/>
    <w:rsid w:val="006F5AA1"/>
    <w:rsid w:val="006F60DE"/>
    <w:rsid w:val="006F61C9"/>
    <w:rsid w:val="006F7F6F"/>
    <w:rsid w:val="00702705"/>
    <w:rsid w:val="00702D9E"/>
    <w:rsid w:val="00702F3D"/>
    <w:rsid w:val="0070314A"/>
    <w:rsid w:val="007034FB"/>
    <w:rsid w:val="00704060"/>
    <w:rsid w:val="00704DC2"/>
    <w:rsid w:val="007052FC"/>
    <w:rsid w:val="00705C07"/>
    <w:rsid w:val="007066E9"/>
    <w:rsid w:val="00706C7B"/>
    <w:rsid w:val="00706F94"/>
    <w:rsid w:val="0071261F"/>
    <w:rsid w:val="0071298D"/>
    <w:rsid w:val="00712B4B"/>
    <w:rsid w:val="007132FA"/>
    <w:rsid w:val="007139B8"/>
    <w:rsid w:val="00714753"/>
    <w:rsid w:val="007149B2"/>
    <w:rsid w:val="00715616"/>
    <w:rsid w:val="007162E9"/>
    <w:rsid w:val="0071708F"/>
    <w:rsid w:val="00720AB2"/>
    <w:rsid w:val="00720BC1"/>
    <w:rsid w:val="0072123B"/>
    <w:rsid w:val="00721841"/>
    <w:rsid w:val="00722658"/>
    <w:rsid w:val="00722FCE"/>
    <w:rsid w:val="0072429F"/>
    <w:rsid w:val="00724771"/>
    <w:rsid w:val="0072477B"/>
    <w:rsid w:val="007247BC"/>
    <w:rsid w:val="00725166"/>
    <w:rsid w:val="00725762"/>
    <w:rsid w:val="00725C0E"/>
    <w:rsid w:val="00725C7F"/>
    <w:rsid w:val="0072648C"/>
    <w:rsid w:val="007267BA"/>
    <w:rsid w:val="007269AC"/>
    <w:rsid w:val="007270CC"/>
    <w:rsid w:val="007273F2"/>
    <w:rsid w:val="007277E0"/>
    <w:rsid w:val="00727A29"/>
    <w:rsid w:val="00730DAA"/>
    <w:rsid w:val="00730E5D"/>
    <w:rsid w:val="007333BC"/>
    <w:rsid w:val="00733E80"/>
    <w:rsid w:val="0073471E"/>
    <w:rsid w:val="00734FFC"/>
    <w:rsid w:val="007356F4"/>
    <w:rsid w:val="00735838"/>
    <w:rsid w:val="00735954"/>
    <w:rsid w:val="00735EB2"/>
    <w:rsid w:val="00736117"/>
    <w:rsid w:val="0073678C"/>
    <w:rsid w:val="00736D7E"/>
    <w:rsid w:val="007375B7"/>
    <w:rsid w:val="00737630"/>
    <w:rsid w:val="007376D7"/>
    <w:rsid w:val="00741586"/>
    <w:rsid w:val="007417FE"/>
    <w:rsid w:val="00741894"/>
    <w:rsid w:val="00741ABC"/>
    <w:rsid w:val="00741EE0"/>
    <w:rsid w:val="00742544"/>
    <w:rsid w:val="0074265A"/>
    <w:rsid w:val="0074270F"/>
    <w:rsid w:val="007429F4"/>
    <w:rsid w:val="00742EF6"/>
    <w:rsid w:val="00743568"/>
    <w:rsid w:val="00743FFB"/>
    <w:rsid w:val="007443E9"/>
    <w:rsid w:val="00744415"/>
    <w:rsid w:val="0074459B"/>
    <w:rsid w:val="0074521B"/>
    <w:rsid w:val="00745691"/>
    <w:rsid w:val="00745ED0"/>
    <w:rsid w:val="00746393"/>
    <w:rsid w:val="00746C35"/>
    <w:rsid w:val="007470DB"/>
    <w:rsid w:val="007473B9"/>
    <w:rsid w:val="0074741B"/>
    <w:rsid w:val="007507A5"/>
    <w:rsid w:val="007507AA"/>
    <w:rsid w:val="00750996"/>
    <w:rsid w:val="00750A17"/>
    <w:rsid w:val="00751413"/>
    <w:rsid w:val="00751AA7"/>
    <w:rsid w:val="0075239B"/>
    <w:rsid w:val="00752403"/>
    <w:rsid w:val="00752C0B"/>
    <w:rsid w:val="00752DA0"/>
    <w:rsid w:val="00753AD7"/>
    <w:rsid w:val="00753D48"/>
    <w:rsid w:val="00754A7E"/>
    <w:rsid w:val="00754B18"/>
    <w:rsid w:val="0075504A"/>
    <w:rsid w:val="00755E97"/>
    <w:rsid w:val="007562A7"/>
    <w:rsid w:val="00756601"/>
    <w:rsid w:val="00756D0E"/>
    <w:rsid w:val="0075761A"/>
    <w:rsid w:val="00757866"/>
    <w:rsid w:val="00757BBD"/>
    <w:rsid w:val="007621C7"/>
    <w:rsid w:val="00762DE1"/>
    <w:rsid w:val="007631FC"/>
    <w:rsid w:val="00764296"/>
    <w:rsid w:val="00764727"/>
    <w:rsid w:val="00764E17"/>
    <w:rsid w:val="007657C5"/>
    <w:rsid w:val="00765EBF"/>
    <w:rsid w:val="0076603B"/>
    <w:rsid w:val="00766B7D"/>
    <w:rsid w:val="00767E95"/>
    <w:rsid w:val="007713F4"/>
    <w:rsid w:val="007725DA"/>
    <w:rsid w:val="00772B6E"/>
    <w:rsid w:val="00772F4A"/>
    <w:rsid w:val="007741F7"/>
    <w:rsid w:val="007749EE"/>
    <w:rsid w:val="00774A6B"/>
    <w:rsid w:val="00775229"/>
    <w:rsid w:val="0077664E"/>
    <w:rsid w:val="007768D3"/>
    <w:rsid w:val="007772F0"/>
    <w:rsid w:val="00777C3A"/>
    <w:rsid w:val="00777F15"/>
    <w:rsid w:val="00780599"/>
    <w:rsid w:val="00780B1B"/>
    <w:rsid w:val="00780E73"/>
    <w:rsid w:val="00782703"/>
    <w:rsid w:val="00782AFD"/>
    <w:rsid w:val="00782CFC"/>
    <w:rsid w:val="00782DA6"/>
    <w:rsid w:val="0078309F"/>
    <w:rsid w:val="007837F9"/>
    <w:rsid w:val="00783E9E"/>
    <w:rsid w:val="00784BFC"/>
    <w:rsid w:val="00784FA0"/>
    <w:rsid w:val="0078565B"/>
    <w:rsid w:val="007856E9"/>
    <w:rsid w:val="00786018"/>
    <w:rsid w:val="00786DE7"/>
    <w:rsid w:val="007904DA"/>
    <w:rsid w:val="00790924"/>
    <w:rsid w:val="00790BCF"/>
    <w:rsid w:val="00791BA5"/>
    <w:rsid w:val="0079248F"/>
    <w:rsid w:val="00792916"/>
    <w:rsid w:val="007935EA"/>
    <w:rsid w:val="00794612"/>
    <w:rsid w:val="00794B08"/>
    <w:rsid w:val="00794CCF"/>
    <w:rsid w:val="00795B41"/>
    <w:rsid w:val="00796266"/>
    <w:rsid w:val="0079691A"/>
    <w:rsid w:val="00796964"/>
    <w:rsid w:val="00796E67"/>
    <w:rsid w:val="00797ED0"/>
    <w:rsid w:val="007A045F"/>
    <w:rsid w:val="007A3783"/>
    <w:rsid w:val="007A41DE"/>
    <w:rsid w:val="007A4789"/>
    <w:rsid w:val="007A499D"/>
    <w:rsid w:val="007A4AA7"/>
    <w:rsid w:val="007A4C6B"/>
    <w:rsid w:val="007A5461"/>
    <w:rsid w:val="007A56C2"/>
    <w:rsid w:val="007A5C92"/>
    <w:rsid w:val="007A71DB"/>
    <w:rsid w:val="007A7648"/>
    <w:rsid w:val="007B02F2"/>
    <w:rsid w:val="007B09E6"/>
    <w:rsid w:val="007B110E"/>
    <w:rsid w:val="007B1757"/>
    <w:rsid w:val="007B1996"/>
    <w:rsid w:val="007B1A4F"/>
    <w:rsid w:val="007B1EA3"/>
    <w:rsid w:val="007B32ED"/>
    <w:rsid w:val="007B419D"/>
    <w:rsid w:val="007B492A"/>
    <w:rsid w:val="007B49FD"/>
    <w:rsid w:val="007B5FD1"/>
    <w:rsid w:val="007B706F"/>
    <w:rsid w:val="007B7453"/>
    <w:rsid w:val="007B7C4B"/>
    <w:rsid w:val="007B7EE5"/>
    <w:rsid w:val="007B7FEE"/>
    <w:rsid w:val="007C2294"/>
    <w:rsid w:val="007C2E9E"/>
    <w:rsid w:val="007C3B4E"/>
    <w:rsid w:val="007C45F0"/>
    <w:rsid w:val="007C4856"/>
    <w:rsid w:val="007C5EBD"/>
    <w:rsid w:val="007C60F3"/>
    <w:rsid w:val="007C6F25"/>
    <w:rsid w:val="007C73E6"/>
    <w:rsid w:val="007C797F"/>
    <w:rsid w:val="007D0D0E"/>
    <w:rsid w:val="007D15D3"/>
    <w:rsid w:val="007D164C"/>
    <w:rsid w:val="007D1A40"/>
    <w:rsid w:val="007D1B9E"/>
    <w:rsid w:val="007D1CA9"/>
    <w:rsid w:val="007D1D73"/>
    <w:rsid w:val="007D2399"/>
    <w:rsid w:val="007D365F"/>
    <w:rsid w:val="007D3EFA"/>
    <w:rsid w:val="007D4094"/>
    <w:rsid w:val="007D56FB"/>
    <w:rsid w:val="007D625C"/>
    <w:rsid w:val="007D6889"/>
    <w:rsid w:val="007D6DE5"/>
    <w:rsid w:val="007D776E"/>
    <w:rsid w:val="007D7C36"/>
    <w:rsid w:val="007E09DA"/>
    <w:rsid w:val="007E0F25"/>
    <w:rsid w:val="007E19C2"/>
    <w:rsid w:val="007E261D"/>
    <w:rsid w:val="007E329F"/>
    <w:rsid w:val="007E3655"/>
    <w:rsid w:val="007E397F"/>
    <w:rsid w:val="007E3CF4"/>
    <w:rsid w:val="007E3E88"/>
    <w:rsid w:val="007E4947"/>
    <w:rsid w:val="007E4BE8"/>
    <w:rsid w:val="007E55F0"/>
    <w:rsid w:val="007E572A"/>
    <w:rsid w:val="007E61FE"/>
    <w:rsid w:val="007E68AB"/>
    <w:rsid w:val="007E696E"/>
    <w:rsid w:val="007E75E8"/>
    <w:rsid w:val="007E77A0"/>
    <w:rsid w:val="007E7D68"/>
    <w:rsid w:val="007F0496"/>
    <w:rsid w:val="007F0F6F"/>
    <w:rsid w:val="007F131E"/>
    <w:rsid w:val="007F23DC"/>
    <w:rsid w:val="007F25B1"/>
    <w:rsid w:val="007F3741"/>
    <w:rsid w:val="007F3CD5"/>
    <w:rsid w:val="007F3FF9"/>
    <w:rsid w:val="007F472D"/>
    <w:rsid w:val="007F49F5"/>
    <w:rsid w:val="007F571A"/>
    <w:rsid w:val="007F7410"/>
    <w:rsid w:val="007F7EDA"/>
    <w:rsid w:val="008000F6"/>
    <w:rsid w:val="008003F6"/>
    <w:rsid w:val="008009B7"/>
    <w:rsid w:val="00800D9C"/>
    <w:rsid w:val="008010FC"/>
    <w:rsid w:val="00802301"/>
    <w:rsid w:val="00802DC6"/>
    <w:rsid w:val="00804C7A"/>
    <w:rsid w:val="00804DBF"/>
    <w:rsid w:val="008076FB"/>
    <w:rsid w:val="0080784E"/>
    <w:rsid w:val="00807B89"/>
    <w:rsid w:val="00807C2C"/>
    <w:rsid w:val="00807F30"/>
    <w:rsid w:val="00810EC5"/>
    <w:rsid w:val="008113A8"/>
    <w:rsid w:val="00811661"/>
    <w:rsid w:val="008135F6"/>
    <w:rsid w:val="00813BC3"/>
    <w:rsid w:val="008147BF"/>
    <w:rsid w:val="00815C11"/>
    <w:rsid w:val="0081631E"/>
    <w:rsid w:val="00816D63"/>
    <w:rsid w:val="008215AE"/>
    <w:rsid w:val="008222E3"/>
    <w:rsid w:val="00823DD2"/>
    <w:rsid w:val="00823E51"/>
    <w:rsid w:val="00824034"/>
    <w:rsid w:val="00824D82"/>
    <w:rsid w:val="00825118"/>
    <w:rsid w:val="00825A3B"/>
    <w:rsid w:val="00825CE3"/>
    <w:rsid w:val="00825D40"/>
    <w:rsid w:val="00826090"/>
    <w:rsid w:val="008268B2"/>
    <w:rsid w:val="00830588"/>
    <w:rsid w:val="00830ADD"/>
    <w:rsid w:val="00830DF9"/>
    <w:rsid w:val="00830F03"/>
    <w:rsid w:val="00831A3B"/>
    <w:rsid w:val="00831B00"/>
    <w:rsid w:val="00831B24"/>
    <w:rsid w:val="00831BE1"/>
    <w:rsid w:val="00831E93"/>
    <w:rsid w:val="0083270C"/>
    <w:rsid w:val="00832A5D"/>
    <w:rsid w:val="00832C40"/>
    <w:rsid w:val="008340D2"/>
    <w:rsid w:val="00834A99"/>
    <w:rsid w:val="00834E05"/>
    <w:rsid w:val="00835B16"/>
    <w:rsid w:val="0083621B"/>
    <w:rsid w:val="00836B95"/>
    <w:rsid w:val="0083774C"/>
    <w:rsid w:val="00837DBB"/>
    <w:rsid w:val="00841454"/>
    <w:rsid w:val="008417B5"/>
    <w:rsid w:val="00841EBC"/>
    <w:rsid w:val="00842860"/>
    <w:rsid w:val="0084291E"/>
    <w:rsid w:val="00842CF5"/>
    <w:rsid w:val="0084306F"/>
    <w:rsid w:val="008435BD"/>
    <w:rsid w:val="00843D22"/>
    <w:rsid w:val="0084453C"/>
    <w:rsid w:val="00844ABE"/>
    <w:rsid w:val="008456CE"/>
    <w:rsid w:val="00845BB3"/>
    <w:rsid w:val="00845DA8"/>
    <w:rsid w:val="00846291"/>
    <w:rsid w:val="008462CA"/>
    <w:rsid w:val="0084682C"/>
    <w:rsid w:val="008473AF"/>
    <w:rsid w:val="00850EAC"/>
    <w:rsid w:val="00851105"/>
    <w:rsid w:val="00851AF0"/>
    <w:rsid w:val="00851C0D"/>
    <w:rsid w:val="00852934"/>
    <w:rsid w:val="00852C67"/>
    <w:rsid w:val="00852E0F"/>
    <w:rsid w:val="00852FFD"/>
    <w:rsid w:val="00853481"/>
    <w:rsid w:val="008535E1"/>
    <w:rsid w:val="00853FB0"/>
    <w:rsid w:val="00854677"/>
    <w:rsid w:val="00857BD0"/>
    <w:rsid w:val="00857D32"/>
    <w:rsid w:val="0086073D"/>
    <w:rsid w:val="00860B73"/>
    <w:rsid w:val="00860FA7"/>
    <w:rsid w:val="0086122B"/>
    <w:rsid w:val="008617CE"/>
    <w:rsid w:val="008620C2"/>
    <w:rsid w:val="00862442"/>
    <w:rsid w:val="00862B6B"/>
    <w:rsid w:val="00862B9F"/>
    <w:rsid w:val="00862D98"/>
    <w:rsid w:val="008635EB"/>
    <w:rsid w:val="00863C2F"/>
    <w:rsid w:val="008641B7"/>
    <w:rsid w:val="0086452C"/>
    <w:rsid w:val="00864907"/>
    <w:rsid w:val="00864B68"/>
    <w:rsid w:val="00865AF3"/>
    <w:rsid w:val="00866943"/>
    <w:rsid w:val="0086699E"/>
    <w:rsid w:val="00867273"/>
    <w:rsid w:val="00867C82"/>
    <w:rsid w:val="00870C6A"/>
    <w:rsid w:val="0087389B"/>
    <w:rsid w:val="00873C85"/>
    <w:rsid w:val="00874C81"/>
    <w:rsid w:val="00874E11"/>
    <w:rsid w:val="0087520A"/>
    <w:rsid w:val="0087528F"/>
    <w:rsid w:val="008755FA"/>
    <w:rsid w:val="00875986"/>
    <w:rsid w:val="008763DE"/>
    <w:rsid w:val="008765A0"/>
    <w:rsid w:val="0087719D"/>
    <w:rsid w:val="0087765D"/>
    <w:rsid w:val="0088055B"/>
    <w:rsid w:val="0088086F"/>
    <w:rsid w:val="008808C2"/>
    <w:rsid w:val="0088110E"/>
    <w:rsid w:val="00881D06"/>
    <w:rsid w:val="00882421"/>
    <w:rsid w:val="0088325F"/>
    <w:rsid w:val="00884503"/>
    <w:rsid w:val="00884BD2"/>
    <w:rsid w:val="00884D2E"/>
    <w:rsid w:val="0088540D"/>
    <w:rsid w:val="00886228"/>
    <w:rsid w:val="00886232"/>
    <w:rsid w:val="00886B60"/>
    <w:rsid w:val="00886BEC"/>
    <w:rsid w:val="00886EAE"/>
    <w:rsid w:val="008875F3"/>
    <w:rsid w:val="008879FF"/>
    <w:rsid w:val="00887EBF"/>
    <w:rsid w:val="00890E02"/>
    <w:rsid w:val="0089168D"/>
    <w:rsid w:val="008920EB"/>
    <w:rsid w:val="00892D02"/>
    <w:rsid w:val="00892E27"/>
    <w:rsid w:val="00893D1E"/>
    <w:rsid w:val="008958F8"/>
    <w:rsid w:val="00896979"/>
    <w:rsid w:val="008A0A6C"/>
    <w:rsid w:val="008A14F8"/>
    <w:rsid w:val="008A1CEC"/>
    <w:rsid w:val="008A2DDB"/>
    <w:rsid w:val="008A302C"/>
    <w:rsid w:val="008A468E"/>
    <w:rsid w:val="008A4D9B"/>
    <w:rsid w:val="008A4F8C"/>
    <w:rsid w:val="008A51C0"/>
    <w:rsid w:val="008A5808"/>
    <w:rsid w:val="008A69F6"/>
    <w:rsid w:val="008A749B"/>
    <w:rsid w:val="008A794D"/>
    <w:rsid w:val="008A7E2C"/>
    <w:rsid w:val="008B029F"/>
    <w:rsid w:val="008B06B9"/>
    <w:rsid w:val="008B0C05"/>
    <w:rsid w:val="008B0F5C"/>
    <w:rsid w:val="008B268A"/>
    <w:rsid w:val="008B2832"/>
    <w:rsid w:val="008B2B67"/>
    <w:rsid w:val="008B2E1E"/>
    <w:rsid w:val="008B3679"/>
    <w:rsid w:val="008B371E"/>
    <w:rsid w:val="008B4085"/>
    <w:rsid w:val="008B4104"/>
    <w:rsid w:val="008B4869"/>
    <w:rsid w:val="008B49F5"/>
    <w:rsid w:val="008B4D89"/>
    <w:rsid w:val="008B6633"/>
    <w:rsid w:val="008B669F"/>
    <w:rsid w:val="008B6B4A"/>
    <w:rsid w:val="008B783C"/>
    <w:rsid w:val="008B7E28"/>
    <w:rsid w:val="008B7FF0"/>
    <w:rsid w:val="008C0243"/>
    <w:rsid w:val="008C0358"/>
    <w:rsid w:val="008C098A"/>
    <w:rsid w:val="008C1114"/>
    <w:rsid w:val="008C22F8"/>
    <w:rsid w:val="008C2582"/>
    <w:rsid w:val="008C3010"/>
    <w:rsid w:val="008C340E"/>
    <w:rsid w:val="008C43DE"/>
    <w:rsid w:val="008C4470"/>
    <w:rsid w:val="008C5140"/>
    <w:rsid w:val="008C538F"/>
    <w:rsid w:val="008C61B7"/>
    <w:rsid w:val="008C740C"/>
    <w:rsid w:val="008C75A4"/>
    <w:rsid w:val="008C7DFB"/>
    <w:rsid w:val="008D0053"/>
    <w:rsid w:val="008D1571"/>
    <w:rsid w:val="008D1973"/>
    <w:rsid w:val="008D1990"/>
    <w:rsid w:val="008D230B"/>
    <w:rsid w:val="008D2A6D"/>
    <w:rsid w:val="008D2F1B"/>
    <w:rsid w:val="008D3A84"/>
    <w:rsid w:val="008D5880"/>
    <w:rsid w:val="008D5D2A"/>
    <w:rsid w:val="008D5E78"/>
    <w:rsid w:val="008D5F88"/>
    <w:rsid w:val="008D6093"/>
    <w:rsid w:val="008D622F"/>
    <w:rsid w:val="008D6498"/>
    <w:rsid w:val="008D712D"/>
    <w:rsid w:val="008D7BE4"/>
    <w:rsid w:val="008D7CC3"/>
    <w:rsid w:val="008D7D2B"/>
    <w:rsid w:val="008E3789"/>
    <w:rsid w:val="008E39CB"/>
    <w:rsid w:val="008E3BD3"/>
    <w:rsid w:val="008E3FE5"/>
    <w:rsid w:val="008E4034"/>
    <w:rsid w:val="008E53B4"/>
    <w:rsid w:val="008E53D1"/>
    <w:rsid w:val="008E6686"/>
    <w:rsid w:val="008E68C5"/>
    <w:rsid w:val="008E6F97"/>
    <w:rsid w:val="008E7356"/>
    <w:rsid w:val="008F0C62"/>
    <w:rsid w:val="008F0FFB"/>
    <w:rsid w:val="008F109B"/>
    <w:rsid w:val="008F13D7"/>
    <w:rsid w:val="008F1DCC"/>
    <w:rsid w:val="008F2373"/>
    <w:rsid w:val="008F2442"/>
    <w:rsid w:val="008F3A71"/>
    <w:rsid w:val="008F3B01"/>
    <w:rsid w:val="008F4553"/>
    <w:rsid w:val="008F49A5"/>
    <w:rsid w:val="008F6709"/>
    <w:rsid w:val="008F6E36"/>
    <w:rsid w:val="008F73A8"/>
    <w:rsid w:val="008F75D7"/>
    <w:rsid w:val="00900A15"/>
    <w:rsid w:val="0090133D"/>
    <w:rsid w:val="00901946"/>
    <w:rsid w:val="00901EAD"/>
    <w:rsid w:val="0090237C"/>
    <w:rsid w:val="0090261F"/>
    <w:rsid w:val="009030F9"/>
    <w:rsid w:val="00904436"/>
    <w:rsid w:val="0090484A"/>
    <w:rsid w:val="00905517"/>
    <w:rsid w:val="00905D60"/>
    <w:rsid w:val="0090669A"/>
    <w:rsid w:val="009067CB"/>
    <w:rsid w:val="0090703C"/>
    <w:rsid w:val="00907CDB"/>
    <w:rsid w:val="00910DBA"/>
    <w:rsid w:val="00910F74"/>
    <w:rsid w:val="00912154"/>
    <w:rsid w:val="009125E1"/>
    <w:rsid w:val="009130EF"/>
    <w:rsid w:val="00915340"/>
    <w:rsid w:val="00915951"/>
    <w:rsid w:val="00915C13"/>
    <w:rsid w:val="009163CC"/>
    <w:rsid w:val="00916872"/>
    <w:rsid w:val="00916AAF"/>
    <w:rsid w:val="00916BEF"/>
    <w:rsid w:val="009177BD"/>
    <w:rsid w:val="009178E4"/>
    <w:rsid w:val="00920075"/>
    <w:rsid w:val="009200BD"/>
    <w:rsid w:val="00920612"/>
    <w:rsid w:val="00920731"/>
    <w:rsid w:val="0092172B"/>
    <w:rsid w:val="00921789"/>
    <w:rsid w:val="00921AD3"/>
    <w:rsid w:val="0092201D"/>
    <w:rsid w:val="00922120"/>
    <w:rsid w:val="0092216B"/>
    <w:rsid w:val="009227EC"/>
    <w:rsid w:val="0092313C"/>
    <w:rsid w:val="0092393E"/>
    <w:rsid w:val="00925BFD"/>
    <w:rsid w:val="00925CF8"/>
    <w:rsid w:val="0092608B"/>
    <w:rsid w:val="009268AA"/>
    <w:rsid w:val="0092758D"/>
    <w:rsid w:val="00930240"/>
    <w:rsid w:val="00930409"/>
    <w:rsid w:val="0093061E"/>
    <w:rsid w:val="00930853"/>
    <w:rsid w:val="00930897"/>
    <w:rsid w:val="00931EDB"/>
    <w:rsid w:val="0093283C"/>
    <w:rsid w:val="00932921"/>
    <w:rsid w:val="00932A00"/>
    <w:rsid w:val="009337F0"/>
    <w:rsid w:val="00936933"/>
    <w:rsid w:val="00940363"/>
    <w:rsid w:val="0094113F"/>
    <w:rsid w:val="00941979"/>
    <w:rsid w:val="00941CE2"/>
    <w:rsid w:val="00941F64"/>
    <w:rsid w:val="00941F93"/>
    <w:rsid w:val="0094317B"/>
    <w:rsid w:val="0094318B"/>
    <w:rsid w:val="009432D6"/>
    <w:rsid w:val="00943861"/>
    <w:rsid w:val="0094388F"/>
    <w:rsid w:val="00943B91"/>
    <w:rsid w:val="00944F70"/>
    <w:rsid w:val="0094513D"/>
    <w:rsid w:val="00946141"/>
    <w:rsid w:val="009474EC"/>
    <w:rsid w:val="00947C16"/>
    <w:rsid w:val="00951D23"/>
    <w:rsid w:val="00952C12"/>
    <w:rsid w:val="0095325D"/>
    <w:rsid w:val="00954BA1"/>
    <w:rsid w:val="00954BFF"/>
    <w:rsid w:val="0095548C"/>
    <w:rsid w:val="009555D9"/>
    <w:rsid w:val="00955673"/>
    <w:rsid w:val="00955BF1"/>
    <w:rsid w:val="00955E0E"/>
    <w:rsid w:val="00956142"/>
    <w:rsid w:val="00956EAF"/>
    <w:rsid w:val="00957925"/>
    <w:rsid w:val="00960DC1"/>
    <w:rsid w:val="00961FAE"/>
    <w:rsid w:val="00962BA1"/>
    <w:rsid w:val="00962DDB"/>
    <w:rsid w:val="00963551"/>
    <w:rsid w:val="00964709"/>
    <w:rsid w:val="00964AFC"/>
    <w:rsid w:val="00965266"/>
    <w:rsid w:val="0096624E"/>
    <w:rsid w:val="009704E5"/>
    <w:rsid w:val="009711A9"/>
    <w:rsid w:val="009722FE"/>
    <w:rsid w:val="0097246D"/>
    <w:rsid w:val="00972E3B"/>
    <w:rsid w:val="009734CA"/>
    <w:rsid w:val="00973639"/>
    <w:rsid w:val="00973A36"/>
    <w:rsid w:val="00973BB6"/>
    <w:rsid w:val="00973CF4"/>
    <w:rsid w:val="00974082"/>
    <w:rsid w:val="0097447F"/>
    <w:rsid w:val="00974841"/>
    <w:rsid w:val="009748DB"/>
    <w:rsid w:val="00974AD8"/>
    <w:rsid w:val="00975CA8"/>
    <w:rsid w:val="00976C3F"/>
    <w:rsid w:val="009807EE"/>
    <w:rsid w:val="00980DAB"/>
    <w:rsid w:val="009819DC"/>
    <w:rsid w:val="009827CB"/>
    <w:rsid w:val="00982F69"/>
    <w:rsid w:val="00983907"/>
    <w:rsid w:val="00984859"/>
    <w:rsid w:val="00984B41"/>
    <w:rsid w:val="00985168"/>
    <w:rsid w:val="009851B8"/>
    <w:rsid w:val="00985952"/>
    <w:rsid w:val="009868F1"/>
    <w:rsid w:val="00987931"/>
    <w:rsid w:val="00987F8E"/>
    <w:rsid w:val="009902AE"/>
    <w:rsid w:val="00990907"/>
    <w:rsid w:val="00990A5A"/>
    <w:rsid w:val="00990B82"/>
    <w:rsid w:val="009921DD"/>
    <w:rsid w:val="00992604"/>
    <w:rsid w:val="00992876"/>
    <w:rsid w:val="0099292D"/>
    <w:rsid w:val="00992EE8"/>
    <w:rsid w:val="00993D5E"/>
    <w:rsid w:val="00995A37"/>
    <w:rsid w:val="00995D56"/>
    <w:rsid w:val="00996E1A"/>
    <w:rsid w:val="009973E2"/>
    <w:rsid w:val="00997A30"/>
    <w:rsid w:val="009A0AA1"/>
    <w:rsid w:val="009A16BA"/>
    <w:rsid w:val="009A1D03"/>
    <w:rsid w:val="009A2018"/>
    <w:rsid w:val="009A22B1"/>
    <w:rsid w:val="009A2795"/>
    <w:rsid w:val="009A299B"/>
    <w:rsid w:val="009A3725"/>
    <w:rsid w:val="009A3FA6"/>
    <w:rsid w:val="009A4C1E"/>
    <w:rsid w:val="009A4E3A"/>
    <w:rsid w:val="009A4E5A"/>
    <w:rsid w:val="009B0306"/>
    <w:rsid w:val="009B1105"/>
    <w:rsid w:val="009B116E"/>
    <w:rsid w:val="009B1450"/>
    <w:rsid w:val="009B40EE"/>
    <w:rsid w:val="009B42E8"/>
    <w:rsid w:val="009B4906"/>
    <w:rsid w:val="009B56E3"/>
    <w:rsid w:val="009B59CA"/>
    <w:rsid w:val="009B5E0E"/>
    <w:rsid w:val="009B7D8A"/>
    <w:rsid w:val="009C1077"/>
    <w:rsid w:val="009C126A"/>
    <w:rsid w:val="009C1384"/>
    <w:rsid w:val="009C415A"/>
    <w:rsid w:val="009C5884"/>
    <w:rsid w:val="009C5C53"/>
    <w:rsid w:val="009C7260"/>
    <w:rsid w:val="009C7518"/>
    <w:rsid w:val="009C7731"/>
    <w:rsid w:val="009D00B1"/>
    <w:rsid w:val="009D02D2"/>
    <w:rsid w:val="009D043F"/>
    <w:rsid w:val="009D0B82"/>
    <w:rsid w:val="009D13BD"/>
    <w:rsid w:val="009D1624"/>
    <w:rsid w:val="009D1B16"/>
    <w:rsid w:val="009D1BEA"/>
    <w:rsid w:val="009D24B7"/>
    <w:rsid w:val="009D335E"/>
    <w:rsid w:val="009D3451"/>
    <w:rsid w:val="009D352A"/>
    <w:rsid w:val="009D35FF"/>
    <w:rsid w:val="009D44B8"/>
    <w:rsid w:val="009D4B47"/>
    <w:rsid w:val="009D5020"/>
    <w:rsid w:val="009D5963"/>
    <w:rsid w:val="009D5E0E"/>
    <w:rsid w:val="009D61F7"/>
    <w:rsid w:val="009E0250"/>
    <w:rsid w:val="009E15F7"/>
    <w:rsid w:val="009E24FB"/>
    <w:rsid w:val="009E3068"/>
    <w:rsid w:val="009E316E"/>
    <w:rsid w:val="009E4261"/>
    <w:rsid w:val="009E4370"/>
    <w:rsid w:val="009E5187"/>
    <w:rsid w:val="009E54EB"/>
    <w:rsid w:val="009E5C30"/>
    <w:rsid w:val="009E726F"/>
    <w:rsid w:val="009E73A9"/>
    <w:rsid w:val="009F033F"/>
    <w:rsid w:val="009F0664"/>
    <w:rsid w:val="009F0C9B"/>
    <w:rsid w:val="009F0E36"/>
    <w:rsid w:val="009F1F32"/>
    <w:rsid w:val="009F2808"/>
    <w:rsid w:val="009F4239"/>
    <w:rsid w:val="009F4C19"/>
    <w:rsid w:val="009F50F6"/>
    <w:rsid w:val="009F577A"/>
    <w:rsid w:val="009F631F"/>
    <w:rsid w:val="009F6E9A"/>
    <w:rsid w:val="009F6EEF"/>
    <w:rsid w:val="009F6FCB"/>
    <w:rsid w:val="009F79FC"/>
    <w:rsid w:val="00A00788"/>
    <w:rsid w:val="00A00C4D"/>
    <w:rsid w:val="00A00FA1"/>
    <w:rsid w:val="00A01D96"/>
    <w:rsid w:val="00A02881"/>
    <w:rsid w:val="00A044B8"/>
    <w:rsid w:val="00A05066"/>
    <w:rsid w:val="00A052EF"/>
    <w:rsid w:val="00A05505"/>
    <w:rsid w:val="00A059B8"/>
    <w:rsid w:val="00A0618D"/>
    <w:rsid w:val="00A061AC"/>
    <w:rsid w:val="00A062DC"/>
    <w:rsid w:val="00A06672"/>
    <w:rsid w:val="00A06ACB"/>
    <w:rsid w:val="00A06BBB"/>
    <w:rsid w:val="00A06EE4"/>
    <w:rsid w:val="00A0745B"/>
    <w:rsid w:val="00A0761A"/>
    <w:rsid w:val="00A07ED9"/>
    <w:rsid w:val="00A104F0"/>
    <w:rsid w:val="00A10648"/>
    <w:rsid w:val="00A10677"/>
    <w:rsid w:val="00A10693"/>
    <w:rsid w:val="00A11926"/>
    <w:rsid w:val="00A11CB6"/>
    <w:rsid w:val="00A1238E"/>
    <w:rsid w:val="00A13432"/>
    <w:rsid w:val="00A139C9"/>
    <w:rsid w:val="00A13E9F"/>
    <w:rsid w:val="00A148F2"/>
    <w:rsid w:val="00A16379"/>
    <w:rsid w:val="00A1671B"/>
    <w:rsid w:val="00A170BA"/>
    <w:rsid w:val="00A17358"/>
    <w:rsid w:val="00A20CA3"/>
    <w:rsid w:val="00A20EF1"/>
    <w:rsid w:val="00A222A9"/>
    <w:rsid w:val="00A22829"/>
    <w:rsid w:val="00A231E8"/>
    <w:rsid w:val="00A236F7"/>
    <w:rsid w:val="00A23E1A"/>
    <w:rsid w:val="00A23E7F"/>
    <w:rsid w:val="00A24696"/>
    <w:rsid w:val="00A2511F"/>
    <w:rsid w:val="00A265B0"/>
    <w:rsid w:val="00A26AEB"/>
    <w:rsid w:val="00A27353"/>
    <w:rsid w:val="00A27A37"/>
    <w:rsid w:val="00A30208"/>
    <w:rsid w:val="00A302BF"/>
    <w:rsid w:val="00A3087B"/>
    <w:rsid w:val="00A32A77"/>
    <w:rsid w:val="00A34DBE"/>
    <w:rsid w:val="00A35A74"/>
    <w:rsid w:val="00A361A2"/>
    <w:rsid w:val="00A3643B"/>
    <w:rsid w:val="00A36A6E"/>
    <w:rsid w:val="00A36EE1"/>
    <w:rsid w:val="00A402EC"/>
    <w:rsid w:val="00A406E8"/>
    <w:rsid w:val="00A41B8C"/>
    <w:rsid w:val="00A41EA6"/>
    <w:rsid w:val="00A423E4"/>
    <w:rsid w:val="00A42466"/>
    <w:rsid w:val="00A44216"/>
    <w:rsid w:val="00A445EE"/>
    <w:rsid w:val="00A4494B"/>
    <w:rsid w:val="00A45197"/>
    <w:rsid w:val="00A46825"/>
    <w:rsid w:val="00A46AC3"/>
    <w:rsid w:val="00A474DF"/>
    <w:rsid w:val="00A479E4"/>
    <w:rsid w:val="00A502AB"/>
    <w:rsid w:val="00A50DBD"/>
    <w:rsid w:val="00A51335"/>
    <w:rsid w:val="00A51596"/>
    <w:rsid w:val="00A5187E"/>
    <w:rsid w:val="00A5189D"/>
    <w:rsid w:val="00A51C79"/>
    <w:rsid w:val="00A51E29"/>
    <w:rsid w:val="00A52C1C"/>
    <w:rsid w:val="00A5411B"/>
    <w:rsid w:val="00A5421A"/>
    <w:rsid w:val="00A549AC"/>
    <w:rsid w:val="00A54B5A"/>
    <w:rsid w:val="00A553A3"/>
    <w:rsid w:val="00A55775"/>
    <w:rsid w:val="00A558D6"/>
    <w:rsid w:val="00A55DCE"/>
    <w:rsid w:val="00A564ED"/>
    <w:rsid w:val="00A56711"/>
    <w:rsid w:val="00A56A13"/>
    <w:rsid w:val="00A57839"/>
    <w:rsid w:val="00A57C10"/>
    <w:rsid w:val="00A57C18"/>
    <w:rsid w:val="00A61266"/>
    <w:rsid w:val="00A6145F"/>
    <w:rsid w:val="00A61EC5"/>
    <w:rsid w:val="00A6324B"/>
    <w:rsid w:val="00A64197"/>
    <w:rsid w:val="00A65558"/>
    <w:rsid w:val="00A65A23"/>
    <w:rsid w:val="00A65B32"/>
    <w:rsid w:val="00A669B2"/>
    <w:rsid w:val="00A67097"/>
    <w:rsid w:val="00A67899"/>
    <w:rsid w:val="00A71FE2"/>
    <w:rsid w:val="00A7235A"/>
    <w:rsid w:val="00A72511"/>
    <w:rsid w:val="00A72F5E"/>
    <w:rsid w:val="00A7534C"/>
    <w:rsid w:val="00A76306"/>
    <w:rsid w:val="00A80376"/>
    <w:rsid w:val="00A80F50"/>
    <w:rsid w:val="00A82032"/>
    <w:rsid w:val="00A827A8"/>
    <w:rsid w:val="00A83484"/>
    <w:rsid w:val="00A83530"/>
    <w:rsid w:val="00A837A7"/>
    <w:rsid w:val="00A83A2D"/>
    <w:rsid w:val="00A83CF2"/>
    <w:rsid w:val="00A840A5"/>
    <w:rsid w:val="00A843D6"/>
    <w:rsid w:val="00A84EA3"/>
    <w:rsid w:val="00A85D56"/>
    <w:rsid w:val="00A87BAD"/>
    <w:rsid w:val="00A90A7D"/>
    <w:rsid w:val="00A92A42"/>
    <w:rsid w:val="00A93243"/>
    <w:rsid w:val="00A93471"/>
    <w:rsid w:val="00A94171"/>
    <w:rsid w:val="00A95031"/>
    <w:rsid w:val="00A958FA"/>
    <w:rsid w:val="00A975E7"/>
    <w:rsid w:val="00A97A42"/>
    <w:rsid w:val="00AA0285"/>
    <w:rsid w:val="00AA2435"/>
    <w:rsid w:val="00AA25AF"/>
    <w:rsid w:val="00AA2D18"/>
    <w:rsid w:val="00AA3225"/>
    <w:rsid w:val="00AA347F"/>
    <w:rsid w:val="00AA3A29"/>
    <w:rsid w:val="00AA4A5D"/>
    <w:rsid w:val="00AA568B"/>
    <w:rsid w:val="00AA5A72"/>
    <w:rsid w:val="00AA5E0A"/>
    <w:rsid w:val="00AA5E7B"/>
    <w:rsid w:val="00AA63B2"/>
    <w:rsid w:val="00AA6AB3"/>
    <w:rsid w:val="00AA6DBA"/>
    <w:rsid w:val="00AA7CB8"/>
    <w:rsid w:val="00AA7DC7"/>
    <w:rsid w:val="00AB0584"/>
    <w:rsid w:val="00AB0F24"/>
    <w:rsid w:val="00AB11A8"/>
    <w:rsid w:val="00AB1554"/>
    <w:rsid w:val="00AB1681"/>
    <w:rsid w:val="00AB1ADF"/>
    <w:rsid w:val="00AB28B5"/>
    <w:rsid w:val="00AB2AA4"/>
    <w:rsid w:val="00AB2D12"/>
    <w:rsid w:val="00AB34F0"/>
    <w:rsid w:val="00AB3D55"/>
    <w:rsid w:val="00AB3F5C"/>
    <w:rsid w:val="00AB5A89"/>
    <w:rsid w:val="00AB6B74"/>
    <w:rsid w:val="00AB6C61"/>
    <w:rsid w:val="00AB75DC"/>
    <w:rsid w:val="00AB7704"/>
    <w:rsid w:val="00AC11D3"/>
    <w:rsid w:val="00AC2352"/>
    <w:rsid w:val="00AC272D"/>
    <w:rsid w:val="00AC2A1F"/>
    <w:rsid w:val="00AC2E82"/>
    <w:rsid w:val="00AC3B7B"/>
    <w:rsid w:val="00AC3CCB"/>
    <w:rsid w:val="00AC42AB"/>
    <w:rsid w:val="00AC4452"/>
    <w:rsid w:val="00AC46F5"/>
    <w:rsid w:val="00AC570C"/>
    <w:rsid w:val="00AC5CA1"/>
    <w:rsid w:val="00AC69B4"/>
    <w:rsid w:val="00AC6E48"/>
    <w:rsid w:val="00AC7592"/>
    <w:rsid w:val="00AD0BB5"/>
    <w:rsid w:val="00AD0D2A"/>
    <w:rsid w:val="00AD1321"/>
    <w:rsid w:val="00AD1E1C"/>
    <w:rsid w:val="00AD208E"/>
    <w:rsid w:val="00AD238B"/>
    <w:rsid w:val="00AD2D3C"/>
    <w:rsid w:val="00AD4D47"/>
    <w:rsid w:val="00AD5969"/>
    <w:rsid w:val="00AD746A"/>
    <w:rsid w:val="00AE0A1A"/>
    <w:rsid w:val="00AE0D56"/>
    <w:rsid w:val="00AE13D3"/>
    <w:rsid w:val="00AE2B8E"/>
    <w:rsid w:val="00AE5935"/>
    <w:rsid w:val="00AE5A37"/>
    <w:rsid w:val="00AE5B34"/>
    <w:rsid w:val="00AE5B7C"/>
    <w:rsid w:val="00AE7305"/>
    <w:rsid w:val="00AF112D"/>
    <w:rsid w:val="00AF13EE"/>
    <w:rsid w:val="00AF189F"/>
    <w:rsid w:val="00AF3089"/>
    <w:rsid w:val="00AF3528"/>
    <w:rsid w:val="00AF359E"/>
    <w:rsid w:val="00AF37BD"/>
    <w:rsid w:val="00AF3AF8"/>
    <w:rsid w:val="00AF4175"/>
    <w:rsid w:val="00AF41DE"/>
    <w:rsid w:val="00AF4D74"/>
    <w:rsid w:val="00AF55DC"/>
    <w:rsid w:val="00AF55E6"/>
    <w:rsid w:val="00AF5722"/>
    <w:rsid w:val="00AF58FC"/>
    <w:rsid w:val="00AF61C0"/>
    <w:rsid w:val="00AF67B2"/>
    <w:rsid w:val="00AF71C6"/>
    <w:rsid w:val="00AF72F6"/>
    <w:rsid w:val="00B00677"/>
    <w:rsid w:val="00B00D18"/>
    <w:rsid w:val="00B00E43"/>
    <w:rsid w:val="00B01126"/>
    <w:rsid w:val="00B01ECA"/>
    <w:rsid w:val="00B02149"/>
    <w:rsid w:val="00B0222D"/>
    <w:rsid w:val="00B0298A"/>
    <w:rsid w:val="00B02C0A"/>
    <w:rsid w:val="00B02E69"/>
    <w:rsid w:val="00B02EFC"/>
    <w:rsid w:val="00B0301E"/>
    <w:rsid w:val="00B04821"/>
    <w:rsid w:val="00B04C02"/>
    <w:rsid w:val="00B04FA5"/>
    <w:rsid w:val="00B0517A"/>
    <w:rsid w:val="00B0563B"/>
    <w:rsid w:val="00B0572F"/>
    <w:rsid w:val="00B06BFD"/>
    <w:rsid w:val="00B06D42"/>
    <w:rsid w:val="00B07458"/>
    <w:rsid w:val="00B07F10"/>
    <w:rsid w:val="00B07F82"/>
    <w:rsid w:val="00B10461"/>
    <w:rsid w:val="00B10D2C"/>
    <w:rsid w:val="00B1290C"/>
    <w:rsid w:val="00B12CA0"/>
    <w:rsid w:val="00B1352D"/>
    <w:rsid w:val="00B13537"/>
    <w:rsid w:val="00B135B5"/>
    <w:rsid w:val="00B14721"/>
    <w:rsid w:val="00B14A9E"/>
    <w:rsid w:val="00B14CD1"/>
    <w:rsid w:val="00B169F6"/>
    <w:rsid w:val="00B20284"/>
    <w:rsid w:val="00B220F3"/>
    <w:rsid w:val="00B22C88"/>
    <w:rsid w:val="00B23391"/>
    <w:rsid w:val="00B236DA"/>
    <w:rsid w:val="00B23786"/>
    <w:rsid w:val="00B243FD"/>
    <w:rsid w:val="00B24934"/>
    <w:rsid w:val="00B25F31"/>
    <w:rsid w:val="00B26520"/>
    <w:rsid w:val="00B27642"/>
    <w:rsid w:val="00B27919"/>
    <w:rsid w:val="00B31A90"/>
    <w:rsid w:val="00B321A8"/>
    <w:rsid w:val="00B326B7"/>
    <w:rsid w:val="00B33CB2"/>
    <w:rsid w:val="00B342BF"/>
    <w:rsid w:val="00B344CF"/>
    <w:rsid w:val="00B348D7"/>
    <w:rsid w:val="00B3502A"/>
    <w:rsid w:val="00B35164"/>
    <w:rsid w:val="00B352C2"/>
    <w:rsid w:val="00B36613"/>
    <w:rsid w:val="00B37584"/>
    <w:rsid w:val="00B37BE9"/>
    <w:rsid w:val="00B41E0E"/>
    <w:rsid w:val="00B41EB3"/>
    <w:rsid w:val="00B422FD"/>
    <w:rsid w:val="00B425A5"/>
    <w:rsid w:val="00B42C52"/>
    <w:rsid w:val="00B43276"/>
    <w:rsid w:val="00B45368"/>
    <w:rsid w:val="00B45476"/>
    <w:rsid w:val="00B4555B"/>
    <w:rsid w:val="00B4574E"/>
    <w:rsid w:val="00B45E39"/>
    <w:rsid w:val="00B46289"/>
    <w:rsid w:val="00B46622"/>
    <w:rsid w:val="00B46ADF"/>
    <w:rsid w:val="00B47B97"/>
    <w:rsid w:val="00B47D37"/>
    <w:rsid w:val="00B500A2"/>
    <w:rsid w:val="00B50ECE"/>
    <w:rsid w:val="00B52774"/>
    <w:rsid w:val="00B534D5"/>
    <w:rsid w:val="00B53A9A"/>
    <w:rsid w:val="00B54201"/>
    <w:rsid w:val="00B54C50"/>
    <w:rsid w:val="00B54C68"/>
    <w:rsid w:val="00B54FC7"/>
    <w:rsid w:val="00B55306"/>
    <w:rsid w:val="00B556CB"/>
    <w:rsid w:val="00B557B6"/>
    <w:rsid w:val="00B561DB"/>
    <w:rsid w:val="00B5646B"/>
    <w:rsid w:val="00B56F43"/>
    <w:rsid w:val="00B57163"/>
    <w:rsid w:val="00B574FF"/>
    <w:rsid w:val="00B57A34"/>
    <w:rsid w:val="00B60BEE"/>
    <w:rsid w:val="00B60E45"/>
    <w:rsid w:val="00B6124D"/>
    <w:rsid w:val="00B61C10"/>
    <w:rsid w:val="00B62351"/>
    <w:rsid w:val="00B63A78"/>
    <w:rsid w:val="00B63E2F"/>
    <w:rsid w:val="00B63F9C"/>
    <w:rsid w:val="00B647B8"/>
    <w:rsid w:val="00B64862"/>
    <w:rsid w:val="00B64ED8"/>
    <w:rsid w:val="00B65824"/>
    <w:rsid w:val="00B66BC0"/>
    <w:rsid w:val="00B66DE0"/>
    <w:rsid w:val="00B7020B"/>
    <w:rsid w:val="00B702F4"/>
    <w:rsid w:val="00B70AC1"/>
    <w:rsid w:val="00B70D8E"/>
    <w:rsid w:val="00B71B78"/>
    <w:rsid w:val="00B72089"/>
    <w:rsid w:val="00B723C2"/>
    <w:rsid w:val="00B731AF"/>
    <w:rsid w:val="00B734DF"/>
    <w:rsid w:val="00B73627"/>
    <w:rsid w:val="00B75D08"/>
    <w:rsid w:val="00B76B58"/>
    <w:rsid w:val="00B76F04"/>
    <w:rsid w:val="00B773D8"/>
    <w:rsid w:val="00B80C95"/>
    <w:rsid w:val="00B8172D"/>
    <w:rsid w:val="00B82278"/>
    <w:rsid w:val="00B827DE"/>
    <w:rsid w:val="00B83185"/>
    <w:rsid w:val="00B83765"/>
    <w:rsid w:val="00B83AD6"/>
    <w:rsid w:val="00B84467"/>
    <w:rsid w:val="00B84E45"/>
    <w:rsid w:val="00B8617D"/>
    <w:rsid w:val="00B8751F"/>
    <w:rsid w:val="00B8793D"/>
    <w:rsid w:val="00B87C34"/>
    <w:rsid w:val="00B902CE"/>
    <w:rsid w:val="00B902F2"/>
    <w:rsid w:val="00B9043A"/>
    <w:rsid w:val="00B910F2"/>
    <w:rsid w:val="00B91BEC"/>
    <w:rsid w:val="00B91D53"/>
    <w:rsid w:val="00B931E2"/>
    <w:rsid w:val="00B9355F"/>
    <w:rsid w:val="00B93893"/>
    <w:rsid w:val="00B94756"/>
    <w:rsid w:val="00B9481F"/>
    <w:rsid w:val="00B95865"/>
    <w:rsid w:val="00B95D23"/>
    <w:rsid w:val="00B95ECF"/>
    <w:rsid w:val="00B95F8E"/>
    <w:rsid w:val="00B96260"/>
    <w:rsid w:val="00B9673E"/>
    <w:rsid w:val="00B96C1F"/>
    <w:rsid w:val="00B96E1B"/>
    <w:rsid w:val="00B96E9C"/>
    <w:rsid w:val="00BA018F"/>
    <w:rsid w:val="00BA059C"/>
    <w:rsid w:val="00BA0991"/>
    <w:rsid w:val="00BA1161"/>
    <w:rsid w:val="00BA170A"/>
    <w:rsid w:val="00BA1DB8"/>
    <w:rsid w:val="00BA3711"/>
    <w:rsid w:val="00BA4F97"/>
    <w:rsid w:val="00BA599C"/>
    <w:rsid w:val="00BA62A5"/>
    <w:rsid w:val="00BA7999"/>
    <w:rsid w:val="00BB0124"/>
    <w:rsid w:val="00BB01EF"/>
    <w:rsid w:val="00BB0664"/>
    <w:rsid w:val="00BB0C0A"/>
    <w:rsid w:val="00BB1015"/>
    <w:rsid w:val="00BB26F5"/>
    <w:rsid w:val="00BB386A"/>
    <w:rsid w:val="00BB3B80"/>
    <w:rsid w:val="00BB4C50"/>
    <w:rsid w:val="00BB5236"/>
    <w:rsid w:val="00BB5A9B"/>
    <w:rsid w:val="00BC05B7"/>
    <w:rsid w:val="00BC1149"/>
    <w:rsid w:val="00BC1228"/>
    <w:rsid w:val="00BC154F"/>
    <w:rsid w:val="00BC1A12"/>
    <w:rsid w:val="00BC1B48"/>
    <w:rsid w:val="00BC32BB"/>
    <w:rsid w:val="00BC671B"/>
    <w:rsid w:val="00BC6D86"/>
    <w:rsid w:val="00BC6F8E"/>
    <w:rsid w:val="00BC6FCE"/>
    <w:rsid w:val="00BC7254"/>
    <w:rsid w:val="00BD0412"/>
    <w:rsid w:val="00BD052F"/>
    <w:rsid w:val="00BD0661"/>
    <w:rsid w:val="00BD1445"/>
    <w:rsid w:val="00BD1516"/>
    <w:rsid w:val="00BD17E3"/>
    <w:rsid w:val="00BD19C9"/>
    <w:rsid w:val="00BD1B2A"/>
    <w:rsid w:val="00BD207D"/>
    <w:rsid w:val="00BD2BAE"/>
    <w:rsid w:val="00BD50BD"/>
    <w:rsid w:val="00BD5FAC"/>
    <w:rsid w:val="00BD62F4"/>
    <w:rsid w:val="00BD6751"/>
    <w:rsid w:val="00BD675F"/>
    <w:rsid w:val="00BD6C06"/>
    <w:rsid w:val="00BD6CE2"/>
    <w:rsid w:val="00BD7E35"/>
    <w:rsid w:val="00BE005C"/>
    <w:rsid w:val="00BE105D"/>
    <w:rsid w:val="00BE1518"/>
    <w:rsid w:val="00BE257D"/>
    <w:rsid w:val="00BE3232"/>
    <w:rsid w:val="00BE3807"/>
    <w:rsid w:val="00BE4990"/>
    <w:rsid w:val="00BE5802"/>
    <w:rsid w:val="00BE605C"/>
    <w:rsid w:val="00BE741A"/>
    <w:rsid w:val="00BF0151"/>
    <w:rsid w:val="00BF1ECE"/>
    <w:rsid w:val="00BF2507"/>
    <w:rsid w:val="00BF4050"/>
    <w:rsid w:val="00BF561D"/>
    <w:rsid w:val="00BF6AD4"/>
    <w:rsid w:val="00BF7168"/>
    <w:rsid w:val="00BF7E83"/>
    <w:rsid w:val="00C008FA"/>
    <w:rsid w:val="00C0095B"/>
    <w:rsid w:val="00C00AC0"/>
    <w:rsid w:val="00C00C4C"/>
    <w:rsid w:val="00C01537"/>
    <w:rsid w:val="00C01616"/>
    <w:rsid w:val="00C016C8"/>
    <w:rsid w:val="00C02140"/>
    <w:rsid w:val="00C02189"/>
    <w:rsid w:val="00C03029"/>
    <w:rsid w:val="00C03908"/>
    <w:rsid w:val="00C03D64"/>
    <w:rsid w:val="00C04282"/>
    <w:rsid w:val="00C044CB"/>
    <w:rsid w:val="00C0535C"/>
    <w:rsid w:val="00C05AD5"/>
    <w:rsid w:val="00C06C10"/>
    <w:rsid w:val="00C06CFF"/>
    <w:rsid w:val="00C06DAF"/>
    <w:rsid w:val="00C072BA"/>
    <w:rsid w:val="00C07652"/>
    <w:rsid w:val="00C0793C"/>
    <w:rsid w:val="00C07D9E"/>
    <w:rsid w:val="00C07E7D"/>
    <w:rsid w:val="00C1035F"/>
    <w:rsid w:val="00C10D8E"/>
    <w:rsid w:val="00C11865"/>
    <w:rsid w:val="00C11BF6"/>
    <w:rsid w:val="00C11D2F"/>
    <w:rsid w:val="00C128B9"/>
    <w:rsid w:val="00C13CF0"/>
    <w:rsid w:val="00C15627"/>
    <w:rsid w:val="00C159DD"/>
    <w:rsid w:val="00C15C10"/>
    <w:rsid w:val="00C16AE3"/>
    <w:rsid w:val="00C17521"/>
    <w:rsid w:val="00C17555"/>
    <w:rsid w:val="00C17606"/>
    <w:rsid w:val="00C17D2D"/>
    <w:rsid w:val="00C201BB"/>
    <w:rsid w:val="00C20493"/>
    <w:rsid w:val="00C20C68"/>
    <w:rsid w:val="00C22903"/>
    <w:rsid w:val="00C22BDA"/>
    <w:rsid w:val="00C22E5E"/>
    <w:rsid w:val="00C23F0A"/>
    <w:rsid w:val="00C24027"/>
    <w:rsid w:val="00C24B5D"/>
    <w:rsid w:val="00C24C04"/>
    <w:rsid w:val="00C24C6D"/>
    <w:rsid w:val="00C26632"/>
    <w:rsid w:val="00C27358"/>
    <w:rsid w:val="00C278F0"/>
    <w:rsid w:val="00C30E6F"/>
    <w:rsid w:val="00C3136D"/>
    <w:rsid w:val="00C31625"/>
    <w:rsid w:val="00C31E25"/>
    <w:rsid w:val="00C31EE5"/>
    <w:rsid w:val="00C31F59"/>
    <w:rsid w:val="00C31FE8"/>
    <w:rsid w:val="00C327CD"/>
    <w:rsid w:val="00C331B5"/>
    <w:rsid w:val="00C338A5"/>
    <w:rsid w:val="00C33CDB"/>
    <w:rsid w:val="00C34172"/>
    <w:rsid w:val="00C345FA"/>
    <w:rsid w:val="00C34C38"/>
    <w:rsid w:val="00C34C98"/>
    <w:rsid w:val="00C359C0"/>
    <w:rsid w:val="00C35FB8"/>
    <w:rsid w:val="00C372B2"/>
    <w:rsid w:val="00C40192"/>
    <w:rsid w:val="00C4061E"/>
    <w:rsid w:val="00C40C9B"/>
    <w:rsid w:val="00C42322"/>
    <w:rsid w:val="00C42543"/>
    <w:rsid w:val="00C42A1D"/>
    <w:rsid w:val="00C434EF"/>
    <w:rsid w:val="00C43970"/>
    <w:rsid w:val="00C446A3"/>
    <w:rsid w:val="00C447E5"/>
    <w:rsid w:val="00C44AF5"/>
    <w:rsid w:val="00C44FC9"/>
    <w:rsid w:val="00C45651"/>
    <w:rsid w:val="00C45888"/>
    <w:rsid w:val="00C45B48"/>
    <w:rsid w:val="00C46176"/>
    <w:rsid w:val="00C46A0E"/>
    <w:rsid w:val="00C479FC"/>
    <w:rsid w:val="00C47DB1"/>
    <w:rsid w:val="00C47F33"/>
    <w:rsid w:val="00C503B2"/>
    <w:rsid w:val="00C504CF"/>
    <w:rsid w:val="00C51106"/>
    <w:rsid w:val="00C51D41"/>
    <w:rsid w:val="00C52B24"/>
    <w:rsid w:val="00C52F8D"/>
    <w:rsid w:val="00C53236"/>
    <w:rsid w:val="00C5394E"/>
    <w:rsid w:val="00C53B13"/>
    <w:rsid w:val="00C54249"/>
    <w:rsid w:val="00C545FC"/>
    <w:rsid w:val="00C548DA"/>
    <w:rsid w:val="00C54A1A"/>
    <w:rsid w:val="00C54CDC"/>
    <w:rsid w:val="00C55078"/>
    <w:rsid w:val="00C5540A"/>
    <w:rsid w:val="00C56569"/>
    <w:rsid w:val="00C56E4B"/>
    <w:rsid w:val="00C6000A"/>
    <w:rsid w:val="00C605A1"/>
    <w:rsid w:val="00C616DA"/>
    <w:rsid w:val="00C61988"/>
    <w:rsid w:val="00C61BC6"/>
    <w:rsid w:val="00C62038"/>
    <w:rsid w:val="00C62A54"/>
    <w:rsid w:val="00C62E9F"/>
    <w:rsid w:val="00C6306E"/>
    <w:rsid w:val="00C63078"/>
    <w:rsid w:val="00C63F45"/>
    <w:rsid w:val="00C64342"/>
    <w:rsid w:val="00C64C1B"/>
    <w:rsid w:val="00C6532D"/>
    <w:rsid w:val="00C65594"/>
    <w:rsid w:val="00C659B5"/>
    <w:rsid w:val="00C6621C"/>
    <w:rsid w:val="00C6630E"/>
    <w:rsid w:val="00C66576"/>
    <w:rsid w:val="00C673B8"/>
    <w:rsid w:val="00C6792B"/>
    <w:rsid w:val="00C67A4A"/>
    <w:rsid w:val="00C67C7C"/>
    <w:rsid w:val="00C70953"/>
    <w:rsid w:val="00C70BA2"/>
    <w:rsid w:val="00C70CD5"/>
    <w:rsid w:val="00C70F04"/>
    <w:rsid w:val="00C713E1"/>
    <w:rsid w:val="00C7257D"/>
    <w:rsid w:val="00C726C4"/>
    <w:rsid w:val="00C72892"/>
    <w:rsid w:val="00C72F31"/>
    <w:rsid w:val="00C72FAB"/>
    <w:rsid w:val="00C736A0"/>
    <w:rsid w:val="00C73F8D"/>
    <w:rsid w:val="00C7578C"/>
    <w:rsid w:val="00C75EC3"/>
    <w:rsid w:val="00C7622E"/>
    <w:rsid w:val="00C767B9"/>
    <w:rsid w:val="00C76EF8"/>
    <w:rsid w:val="00C8037D"/>
    <w:rsid w:val="00C81883"/>
    <w:rsid w:val="00C834B1"/>
    <w:rsid w:val="00C850FF"/>
    <w:rsid w:val="00C86BF8"/>
    <w:rsid w:val="00C87475"/>
    <w:rsid w:val="00C878BE"/>
    <w:rsid w:val="00C9011B"/>
    <w:rsid w:val="00C90231"/>
    <w:rsid w:val="00C90475"/>
    <w:rsid w:val="00C911A5"/>
    <w:rsid w:val="00C9139B"/>
    <w:rsid w:val="00C9171F"/>
    <w:rsid w:val="00C919B4"/>
    <w:rsid w:val="00C91CAE"/>
    <w:rsid w:val="00C91F39"/>
    <w:rsid w:val="00C92856"/>
    <w:rsid w:val="00C92A51"/>
    <w:rsid w:val="00C93DE4"/>
    <w:rsid w:val="00C93EFD"/>
    <w:rsid w:val="00C94358"/>
    <w:rsid w:val="00C94600"/>
    <w:rsid w:val="00C94884"/>
    <w:rsid w:val="00C95685"/>
    <w:rsid w:val="00C95F78"/>
    <w:rsid w:val="00C97062"/>
    <w:rsid w:val="00C97ED1"/>
    <w:rsid w:val="00CA1BB2"/>
    <w:rsid w:val="00CA1C09"/>
    <w:rsid w:val="00CA1E0F"/>
    <w:rsid w:val="00CA26B0"/>
    <w:rsid w:val="00CA3730"/>
    <w:rsid w:val="00CA3C22"/>
    <w:rsid w:val="00CA4257"/>
    <w:rsid w:val="00CA4339"/>
    <w:rsid w:val="00CA46DF"/>
    <w:rsid w:val="00CA4C46"/>
    <w:rsid w:val="00CA5B7F"/>
    <w:rsid w:val="00CA5BA0"/>
    <w:rsid w:val="00CA5D64"/>
    <w:rsid w:val="00CA643B"/>
    <w:rsid w:val="00CA6531"/>
    <w:rsid w:val="00CA69E8"/>
    <w:rsid w:val="00CA6A74"/>
    <w:rsid w:val="00CA6DC3"/>
    <w:rsid w:val="00CA70C2"/>
    <w:rsid w:val="00CA70DC"/>
    <w:rsid w:val="00CA735D"/>
    <w:rsid w:val="00CA76D6"/>
    <w:rsid w:val="00CB04D7"/>
    <w:rsid w:val="00CB09D3"/>
    <w:rsid w:val="00CB11E3"/>
    <w:rsid w:val="00CB2CC6"/>
    <w:rsid w:val="00CB3505"/>
    <w:rsid w:val="00CB3922"/>
    <w:rsid w:val="00CB3BC8"/>
    <w:rsid w:val="00CB4249"/>
    <w:rsid w:val="00CB4A19"/>
    <w:rsid w:val="00CB65E8"/>
    <w:rsid w:val="00CB6D9B"/>
    <w:rsid w:val="00CB735A"/>
    <w:rsid w:val="00CC01A1"/>
    <w:rsid w:val="00CC11E4"/>
    <w:rsid w:val="00CC2431"/>
    <w:rsid w:val="00CC2514"/>
    <w:rsid w:val="00CC27FA"/>
    <w:rsid w:val="00CC344C"/>
    <w:rsid w:val="00CC35B8"/>
    <w:rsid w:val="00CC3E09"/>
    <w:rsid w:val="00CC4277"/>
    <w:rsid w:val="00CC443A"/>
    <w:rsid w:val="00CC4AB3"/>
    <w:rsid w:val="00CC59CE"/>
    <w:rsid w:val="00CC61B6"/>
    <w:rsid w:val="00CC66E5"/>
    <w:rsid w:val="00CC6735"/>
    <w:rsid w:val="00CC693E"/>
    <w:rsid w:val="00CC6960"/>
    <w:rsid w:val="00CC6D96"/>
    <w:rsid w:val="00CC7210"/>
    <w:rsid w:val="00CC77B8"/>
    <w:rsid w:val="00CD07EF"/>
    <w:rsid w:val="00CD128F"/>
    <w:rsid w:val="00CD2AF9"/>
    <w:rsid w:val="00CD2D7C"/>
    <w:rsid w:val="00CD3380"/>
    <w:rsid w:val="00CD36E3"/>
    <w:rsid w:val="00CD3BA6"/>
    <w:rsid w:val="00CD434A"/>
    <w:rsid w:val="00CD4A78"/>
    <w:rsid w:val="00CD4B60"/>
    <w:rsid w:val="00CD5E61"/>
    <w:rsid w:val="00CD6642"/>
    <w:rsid w:val="00CD7231"/>
    <w:rsid w:val="00CD7EA1"/>
    <w:rsid w:val="00CE037E"/>
    <w:rsid w:val="00CE0870"/>
    <w:rsid w:val="00CE093E"/>
    <w:rsid w:val="00CE0AD2"/>
    <w:rsid w:val="00CE1BBA"/>
    <w:rsid w:val="00CE1E31"/>
    <w:rsid w:val="00CE20E3"/>
    <w:rsid w:val="00CE2562"/>
    <w:rsid w:val="00CE25A2"/>
    <w:rsid w:val="00CE2B5F"/>
    <w:rsid w:val="00CE2E61"/>
    <w:rsid w:val="00CE305B"/>
    <w:rsid w:val="00CE3B63"/>
    <w:rsid w:val="00CE41BA"/>
    <w:rsid w:val="00CE5408"/>
    <w:rsid w:val="00CE5752"/>
    <w:rsid w:val="00CE5759"/>
    <w:rsid w:val="00CE6398"/>
    <w:rsid w:val="00CE6F49"/>
    <w:rsid w:val="00CE74B9"/>
    <w:rsid w:val="00CE7B71"/>
    <w:rsid w:val="00CF0AB2"/>
    <w:rsid w:val="00CF0B96"/>
    <w:rsid w:val="00CF105C"/>
    <w:rsid w:val="00CF1244"/>
    <w:rsid w:val="00CF2D6B"/>
    <w:rsid w:val="00CF2D88"/>
    <w:rsid w:val="00CF3127"/>
    <w:rsid w:val="00CF3BEB"/>
    <w:rsid w:val="00CF419D"/>
    <w:rsid w:val="00CF490F"/>
    <w:rsid w:val="00CF4DB8"/>
    <w:rsid w:val="00CF57D2"/>
    <w:rsid w:val="00CF7F60"/>
    <w:rsid w:val="00D0045A"/>
    <w:rsid w:val="00D00585"/>
    <w:rsid w:val="00D00964"/>
    <w:rsid w:val="00D00990"/>
    <w:rsid w:val="00D00A8F"/>
    <w:rsid w:val="00D014DB"/>
    <w:rsid w:val="00D0152A"/>
    <w:rsid w:val="00D02039"/>
    <w:rsid w:val="00D02E56"/>
    <w:rsid w:val="00D04967"/>
    <w:rsid w:val="00D05BA7"/>
    <w:rsid w:val="00D06C32"/>
    <w:rsid w:val="00D06FB7"/>
    <w:rsid w:val="00D07060"/>
    <w:rsid w:val="00D072E5"/>
    <w:rsid w:val="00D0794B"/>
    <w:rsid w:val="00D10903"/>
    <w:rsid w:val="00D12042"/>
    <w:rsid w:val="00D12294"/>
    <w:rsid w:val="00D13011"/>
    <w:rsid w:val="00D14689"/>
    <w:rsid w:val="00D14DC0"/>
    <w:rsid w:val="00D15189"/>
    <w:rsid w:val="00D15547"/>
    <w:rsid w:val="00D15567"/>
    <w:rsid w:val="00D16B80"/>
    <w:rsid w:val="00D16D6E"/>
    <w:rsid w:val="00D16DA3"/>
    <w:rsid w:val="00D16EFA"/>
    <w:rsid w:val="00D17108"/>
    <w:rsid w:val="00D17140"/>
    <w:rsid w:val="00D2006B"/>
    <w:rsid w:val="00D202F9"/>
    <w:rsid w:val="00D20AA4"/>
    <w:rsid w:val="00D20CD2"/>
    <w:rsid w:val="00D20EBA"/>
    <w:rsid w:val="00D21BD1"/>
    <w:rsid w:val="00D21C12"/>
    <w:rsid w:val="00D21D5A"/>
    <w:rsid w:val="00D21E97"/>
    <w:rsid w:val="00D224E4"/>
    <w:rsid w:val="00D23B23"/>
    <w:rsid w:val="00D255C3"/>
    <w:rsid w:val="00D25743"/>
    <w:rsid w:val="00D26091"/>
    <w:rsid w:val="00D26E59"/>
    <w:rsid w:val="00D27559"/>
    <w:rsid w:val="00D27674"/>
    <w:rsid w:val="00D279EA"/>
    <w:rsid w:val="00D27AB1"/>
    <w:rsid w:val="00D27B62"/>
    <w:rsid w:val="00D300B4"/>
    <w:rsid w:val="00D30309"/>
    <w:rsid w:val="00D30755"/>
    <w:rsid w:val="00D309C7"/>
    <w:rsid w:val="00D31006"/>
    <w:rsid w:val="00D3268D"/>
    <w:rsid w:val="00D3290B"/>
    <w:rsid w:val="00D32E2C"/>
    <w:rsid w:val="00D34722"/>
    <w:rsid w:val="00D34D39"/>
    <w:rsid w:val="00D350C3"/>
    <w:rsid w:val="00D36378"/>
    <w:rsid w:val="00D36A6F"/>
    <w:rsid w:val="00D371AA"/>
    <w:rsid w:val="00D37350"/>
    <w:rsid w:val="00D376A7"/>
    <w:rsid w:val="00D37725"/>
    <w:rsid w:val="00D40403"/>
    <w:rsid w:val="00D40A1A"/>
    <w:rsid w:val="00D424A7"/>
    <w:rsid w:val="00D42CBF"/>
    <w:rsid w:val="00D42D65"/>
    <w:rsid w:val="00D42F3E"/>
    <w:rsid w:val="00D43E61"/>
    <w:rsid w:val="00D440AC"/>
    <w:rsid w:val="00D44317"/>
    <w:rsid w:val="00D45B8E"/>
    <w:rsid w:val="00D4623F"/>
    <w:rsid w:val="00D46630"/>
    <w:rsid w:val="00D46F50"/>
    <w:rsid w:val="00D471A8"/>
    <w:rsid w:val="00D47641"/>
    <w:rsid w:val="00D47858"/>
    <w:rsid w:val="00D47F56"/>
    <w:rsid w:val="00D5030D"/>
    <w:rsid w:val="00D50D65"/>
    <w:rsid w:val="00D51DAE"/>
    <w:rsid w:val="00D522F5"/>
    <w:rsid w:val="00D525BB"/>
    <w:rsid w:val="00D5282E"/>
    <w:rsid w:val="00D52AAE"/>
    <w:rsid w:val="00D5374B"/>
    <w:rsid w:val="00D55160"/>
    <w:rsid w:val="00D55671"/>
    <w:rsid w:val="00D56712"/>
    <w:rsid w:val="00D57338"/>
    <w:rsid w:val="00D57C85"/>
    <w:rsid w:val="00D57F6E"/>
    <w:rsid w:val="00D608E9"/>
    <w:rsid w:val="00D613F6"/>
    <w:rsid w:val="00D61F6D"/>
    <w:rsid w:val="00D6291B"/>
    <w:rsid w:val="00D62FB9"/>
    <w:rsid w:val="00D63D4C"/>
    <w:rsid w:val="00D63D91"/>
    <w:rsid w:val="00D646E7"/>
    <w:rsid w:val="00D64ADB"/>
    <w:rsid w:val="00D6523F"/>
    <w:rsid w:val="00D656AE"/>
    <w:rsid w:val="00D6634C"/>
    <w:rsid w:val="00D66856"/>
    <w:rsid w:val="00D70F6D"/>
    <w:rsid w:val="00D7169C"/>
    <w:rsid w:val="00D7173A"/>
    <w:rsid w:val="00D7204A"/>
    <w:rsid w:val="00D725BD"/>
    <w:rsid w:val="00D73533"/>
    <w:rsid w:val="00D73A95"/>
    <w:rsid w:val="00D775A3"/>
    <w:rsid w:val="00D77CC7"/>
    <w:rsid w:val="00D80646"/>
    <w:rsid w:val="00D80C58"/>
    <w:rsid w:val="00D80F0D"/>
    <w:rsid w:val="00D814A5"/>
    <w:rsid w:val="00D8197B"/>
    <w:rsid w:val="00D81EDD"/>
    <w:rsid w:val="00D8289F"/>
    <w:rsid w:val="00D839D3"/>
    <w:rsid w:val="00D83A2F"/>
    <w:rsid w:val="00D84051"/>
    <w:rsid w:val="00D848A1"/>
    <w:rsid w:val="00D8539B"/>
    <w:rsid w:val="00D85B63"/>
    <w:rsid w:val="00D85CFB"/>
    <w:rsid w:val="00D861CC"/>
    <w:rsid w:val="00D862CE"/>
    <w:rsid w:val="00D86A69"/>
    <w:rsid w:val="00D86C1F"/>
    <w:rsid w:val="00D87342"/>
    <w:rsid w:val="00D87D0B"/>
    <w:rsid w:val="00D9091C"/>
    <w:rsid w:val="00D91314"/>
    <w:rsid w:val="00D91DA1"/>
    <w:rsid w:val="00D91F19"/>
    <w:rsid w:val="00D92EF0"/>
    <w:rsid w:val="00D9327B"/>
    <w:rsid w:val="00D93706"/>
    <w:rsid w:val="00D93C64"/>
    <w:rsid w:val="00D93CB3"/>
    <w:rsid w:val="00D9427A"/>
    <w:rsid w:val="00D94618"/>
    <w:rsid w:val="00D94AA6"/>
    <w:rsid w:val="00D95693"/>
    <w:rsid w:val="00D95B4F"/>
    <w:rsid w:val="00D97D76"/>
    <w:rsid w:val="00D97E99"/>
    <w:rsid w:val="00DA061E"/>
    <w:rsid w:val="00DA0CC6"/>
    <w:rsid w:val="00DA1848"/>
    <w:rsid w:val="00DA237E"/>
    <w:rsid w:val="00DA24C7"/>
    <w:rsid w:val="00DA2824"/>
    <w:rsid w:val="00DA2A51"/>
    <w:rsid w:val="00DA3C5F"/>
    <w:rsid w:val="00DA4754"/>
    <w:rsid w:val="00DA503F"/>
    <w:rsid w:val="00DA509C"/>
    <w:rsid w:val="00DA5B30"/>
    <w:rsid w:val="00DA6980"/>
    <w:rsid w:val="00DA7DAC"/>
    <w:rsid w:val="00DA7E01"/>
    <w:rsid w:val="00DA7E5F"/>
    <w:rsid w:val="00DB02A5"/>
    <w:rsid w:val="00DB08CF"/>
    <w:rsid w:val="00DB1A2B"/>
    <w:rsid w:val="00DB1A39"/>
    <w:rsid w:val="00DB2E73"/>
    <w:rsid w:val="00DB2FDE"/>
    <w:rsid w:val="00DB3A84"/>
    <w:rsid w:val="00DB45BD"/>
    <w:rsid w:val="00DB47DF"/>
    <w:rsid w:val="00DB4F24"/>
    <w:rsid w:val="00DB5A64"/>
    <w:rsid w:val="00DB6374"/>
    <w:rsid w:val="00DB6AF0"/>
    <w:rsid w:val="00DB7299"/>
    <w:rsid w:val="00DB73FF"/>
    <w:rsid w:val="00DB7740"/>
    <w:rsid w:val="00DB7D15"/>
    <w:rsid w:val="00DC132F"/>
    <w:rsid w:val="00DC1BBC"/>
    <w:rsid w:val="00DC1F76"/>
    <w:rsid w:val="00DC3312"/>
    <w:rsid w:val="00DC399E"/>
    <w:rsid w:val="00DC39E2"/>
    <w:rsid w:val="00DC40A7"/>
    <w:rsid w:val="00DC49D1"/>
    <w:rsid w:val="00DC5B27"/>
    <w:rsid w:val="00DC6056"/>
    <w:rsid w:val="00DC6201"/>
    <w:rsid w:val="00DC6ECA"/>
    <w:rsid w:val="00DC7F5D"/>
    <w:rsid w:val="00DD0432"/>
    <w:rsid w:val="00DD0D24"/>
    <w:rsid w:val="00DD1A3C"/>
    <w:rsid w:val="00DD2785"/>
    <w:rsid w:val="00DD3A11"/>
    <w:rsid w:val="00DD458A"/>
    <w:rsid w:val="00DD4F10"/>
    <w:rsid w:val="00DD54B8"/>
    <w:rsid w:val="00DD58D2"/>
    <w:rsid w:val="00DD5EFF"/>
    <w:rsid w:val="00DD6203"/>
    <w:rsid w:val="00DD6258"/>
    <w:rsid w:val="00DE112B"/>
    <w:rsid w:val="00DE11FB"/>
    <w:rsid w:val="00DE134B"/>
    <w:rsid w:val="00DE15BC"/>
    <w:rsid w:val="00DE22CE"/>
    <w:rsid w:val="00DE23A3"/>
    <w:rsid w:val="00DE2A29"/>
    <w:rsid w:val="00DE2C49"/>
    <w:rsid w:val="00DE2EDA"/>
    <w:rsid w:val="00DE42A0"/>
    <w:rsid w:val="00DE42F5"/>
    <w:rsid w:val="00DE6D11"/>
    <w:rsid w:val="00DE755C"/>
    <w:rsid w:val="00DE7B6F"/>
    <w:rsid w:val="00DF08F2"/>
    <w:rsid w:val="00DF0F6D"/>
    <w:rsid w:val="00DF2766"/>
    <w:rsid w:val="00DF3769"/>
    <w:rsid w:val="00DF3AE4"/>
    <w:rsid w:val="00DF4064"/>
    <w:rsid w:val="00DF4FA3"/>
    <w:rsid w:val="00DF502C"/>
    <w:rsid w:val="00DF5745"/>
    <w:rsid w:val="00DF651B"/>
    <w:rsid w:val="00DF6718"/>
    <w:rsid w:val="00DF6819"/>
    <w:rsid w:val="00DF6F23"/>
    <w:rsid w:val="00DF744F"/>
    <w:rsid w:val="00DF7588"/>
    <w:rsid w:val="00DF765C"/>
    <w:rsid w:val="00E0048D"/>
    <w:rsid w:val="00E015C0"/>
    <w:rsid w:val="00E0199D"/>
    <w:rsid w:val="00E0290A"/>
    <w:rsid w:val="00E029EA"/>
    <w:rsid w:val="00E03284"/>
    <w:rsid w:val="00E035A2"/>
    <w:rsid w:val="00E0387F"/>
    <w:rsid w:val="00E03F21"/>
    <w:rsid w:val="00E04ABD"/>
    <w:rsid w:val="00E06549"/>
    <w:rsid w:val="00E06C45"/>
    <w:rsid w:val="00E1019B"/>
    <w:rsid w:val="00E10516"/>
    <w:rsid w:val="00E10636"/>
    <w:rsid w:val="00E10714"/>
    <w:rsid w:val="00E112E6"/>
    <w:rsid w:val="00E13B0B"/>
    <w:rsid w:val="00E13F1B"/>
    <w:rsid w:val="00E14238"/>
    <w:rsid w:val="00E14886"/>
    <w:rsid w:val="00E14AD2"/>
    <w:rsid w:val="00E15122"/>
    <w:rsid w:val="00E1519F"/>
    <w:rsid w:val="00E16394"/>
    <w:rsid w:val="00E164B3"/>
    <w:rsid w:val="00E16F9C"/>
    <w:rsid w:val="00E17A6A"/>
    <w:rsid w:val="00E20037"/>
    <w:rsid w:val="00E206E5"/>
    <w:rsid w:val="00E21041"/>
    <w:rsid w:val="00E215CB"/>
    <w:rsid w:val="00E2162B"/>
    <w:rsid w:val="00E21765"/>
    <w:rsid w:val="00E23403"/>
    <w:rsid w:val="00E236BE"/>
    <w:rsid w:val="00E26719"/>
    <w:rsid w:val="00E27CBD"/>
    <w:rsid w:val="00E30197"/>
    <w:rsid w:val="00E303E8"/>
    <w:rsid w:val="00E3042B"/>
    <w:rsid w:val="00E306D4"/>
    <w:rsid w:val="00E309D5"/>
    <w:rsid w:val="00E30CFA"/>
    <w:rsid w:val="00E312E5"/>
    <w:rsid w:val="00E31C37"/>
    <w:rsid w:val="00E31E80"/>
    <w:rsid w:val="00E32206"/>
    <w:rsid w:val="00E32278"/>
    <w:rsid w:val="00E32542"/>
    <w:rsid w:val="00E32F9C"/>
    <w:rsid w:val="00E33F50"/>
    <w:rsid w:val="00E35820"/>
    <w:rsid w:val="00E35A86"/>
    <w:rsid w:val="00E36A43"/>
    <w:rsid w:val="00E36A77"/>
    <w:rsid w:val="00E3750F"/>
    <w:rsid w:val="00E37F85"/>
    <w:rsid w:val="00E40233"/>
    <w:rsid w:val="00E40926"/>
    <w:rsid w:val="00E41B51"/>
    <w:rsid w:val="00E43D30"/>
    <w:rsid w:val="00E44275"/>
    <w:rsid w:val="00E443F8"/>
    <w:rsid w:val="00E446BC"/>
    <w:rsid w:val="00E44F1F"/>
    <w:rsid w:val="00E46647"/>
    <w:rsid w:val="00E47A5C"/>
    <w:rsid w:val="00E50074"/>
    <w:rsid w:val="00E506C7"/>
    <w:rsid w:val="00E50970"/>
    <w:rsid w:val="00E52B86"/>
    <w:rsid w:val="00E552F0"/>
    <w:rsid w:val="00E55999"/>
    <w:rsid w:val="00E55E18"/>
    <w:rsid w:val="00E567A5"/>
    <w:rsid w:val="00E56D2C"/>
    <w:rsid w:val="00E60708"/>
    <w:rsid w:val="00E61239"/>
    <w:rsid w:val="00E622C5"/>
    <w:rsid w:val="00E6247A"/>
    <w:rsid w:val="00E6280C"/>
    <w:rsid w:val="00E629DD"/>
    <w:rsid w:val="00E62A0E"/>
    <w:rsid w:val="00E62A4D"/>
    <w:rsid w:val="00E630AE"/>
    <w:rsid w:val="00E63584"/>
    <w:rsid w:val="00E64024"/>
    <w:rsid w:val="00E64112"/>
    <w:rsid w:val="00E64C63"/>
    <w:rsid w:val="00E658D6"/>
    <w:rsid w:val="00E66415"/>
    <w:rsid w:val="00E66EB3"/>
    <w:rsid w:val="00E6781B"/>
    <w:rsid w:val="00E70EA8"/>
    <w:rsid w:val="00E713F1"/>
    <w:rsid w:val="00E7147D"/>
    <w:rsid w:val="00E71928"/>
    <w:rsid w:val="00E732ED"/>
    <w:rsid w:val="00E74ACB"/>
    <w:rsid w:val="00E76CF9"/>
    <w:rsid w:val="00E76CFB"/>
    <w:rsid w:val="00E80F47"/>
    <w:rsid w:val="00E8148D"/>
    <w:rsid w:val="00E81A0A"/>
    <w:rsid w:val="00E8206C"/>
    <w:rsid w:val="00E82F8A"/>
    <w:rsid w:val="00E8379C"/>
    <w:rsid w:val="00E846E3"/>
    <w:rsid w:val="00E854DD"/>
    <w:rsid w:val="00E85F2E"/>
    <w:rsid w:val="00E86489"/>
    <w:rsid w:val="00E86E5C"/>
    <w:rsid w:val="00E87164"/>
    <w:rsid w:val="00E8764B"/>
    <w:rsid w:val="00E876DA"/>
    <w:rsid w:val="00E87A6E"/>
    <w:rsid w:val="00E87AA7"/>
    <w:rsid w:val="00E912B6"/>
    <w:rsid w:val="00E914C6"/>
    <w:rsid w:val="00E92269"/>
    <w:rsid w:val="00E92CF4"/>
    <w:rsid w:val="00E9317A"/>
    <w:rsid w:val="00E9383F"/>
    <w:rsid w:val="00E93844"/>
    <w:rsid w:val="00E9452F"/>
    <w:rsid w:val="00E958EB"/>
    <w:rsid w:val="00E9673A"/>
    <w:rsid w:val="00E969D0"/>
    <w:rsid w:val="00E96F04"/>
    <w:rsid w:val="00E97615"/>
    <w:rsid w:val="00E97739"/>
    <w:rsid w:val="00E97F1A"/>
    <w:rsid w:val="00EA002A"/>
    <w:rsid w:val="00EA105A"/>
    <w:rsid w:val="00EA10C1"/>
    <w:rsid w:val="00EA182E"/>
    <w:rsid w:val="00EA1B0A"/>
    <w:rsid w:val="00EA2A70"/>
    <w:rsid w:val="00EA3309"/>
    <w:rsid w:val="00EA3364"/>
    <w:rsid w:val="00EA34FD"/>
    <w:rsid w:val="00EA3966"/>
    <w:rsid w:val="00EA43E8"/>
    <w:rsid w:val="00EA61ED"/>
    <w:rsid w:val="00EA7095"/>
    <w:rsid w:val="00EB00C9"/>
    <w:rsid w:val="00EB0ACE"/>
    <w:rsid w:val="00EB139E"/>
    <w:rsid w:val="00EB14A8"/>
    <w:rsid w:val="00EB2B79"/>
    <w:rsid w:val="00EB3104"/>
    <w:rsid w:val="00EB3BA1"/>
    <w:rsid w:val="00EB3DA3"/>
    <w:rsid w:val="00EB4440"/>
    <w:rsid w:val="00EB5774"/>
    <w:rsid w:val="00EB6049"/>
    <w:rsid w:val="00EB7903"/>
    <w:rsid w:val="00EC03B6"/>
    <w:rsid w:val="00EC090E"/>
    <w:rsid w:val="00EC0BCD"/>
    <w:rsid w:val="00EC1079"/>
    <w:rsid w:val="00EC225D"/>
    <w:rsid w:val="00EC24BA"/>
    <w:rsid w:val="00EC2536"/>
    <w:rsid w:val="00EC266E"/>
    <w:rsid w:val="00EC2ADB"/>
    <w:rsid w:val="00EC325C"/>
    <w:rsid w:val="00EC40DA"/>
    <w:rsid w:val="00EC48D7"/>
    <w:rsid w:val="00EC4A02"/>
    <w:rsid w:val="00EC4AA6"/>
    <w:rsid w:val="00EC4EE2"/>
    <w:rsid w:val="00EC5031"/>
    <w:rsid w:val="00EC529C"/>
    <w:rsid w:val="00EC54FB"/>
    <w:rsid w:val="00EC5699"/>
    <w:rsid w:val="00EC5E9E"/>
    <w:rsid w:val="00EC5FEE"/>
    <w:rsid w:val="00EC64E2"/>
    <w:rsid w:val="00EC673C"/>
    <w:rsid w:val="00EC72DE"/>
    <w:rsid w:val="00EC7594"/>
    <w:rsid w:val="00EC75D7"/>
    <w:rsid w:val="00ED005C"/>
    <w:rsid w:val="00ED00E7"/>
    <w:rsid w:val="00ED0775"/>
    <w:rsid w:val="00ED1349"/>
    <w:rsid w:val="00ED2309"/>
    <w:rsid w:val="00ED3995"/>
    <w:rsid w:val="00ED3DD1"/>
    <w:rsid w:val="00ED4378"/>
    <w:rsid w:val="00ED5A41"/>
    <w:rsid w:val="00ED5D70"/>
    <w:rsid w:val="00ED5F0A"/>
    <w:rsid w:val="00ED6114"/>
    <w:rsid w:val="00ED621A"/>
    <w:rsid w:val="00ED7CE0"/>
    <w:rsid w:val="00ED7E44"/>
    <w:rsid w:val="00EE01DE"/>
    <w:rsid w:val="00EE0737"/>
    <w:rsid w:val="00EE17DB"/>
    <w:rsid w:val="00EE2B5F"/>
    <w:rsid w:val="00EE4C62"/>
    <w:rsid w:val="00EE4CE3"/>
    <w:rsid w:val="00EE5731"/>
    <w:rsid w:val="00EE6955"/>
    <w:rsid w:val="00EE7004"/>
    <w:rsid w:val="00EF0E58"/>
    <w:rsid w:val="00EF1465"/>
    <w:rsid w:val="00EF16C3"/>
    <w:rsid w:val="00EF173D"/>
    <w:rsid w:val="00EF17F4"/>
    <w:rsid w:val="00EF1B2A"/>
    <w:rsid w:val="00EF1CDD"/>
    <w:rsid w:val="00EF2139"/>
    <w:rsid w:val="00EF36EE"/>
    <w:rsid w:val="00EF4CCE"/>
    <w:rsid w:val="00EF4FF8"/>
    <w:rsid w:val="00EF5BB9"/>
    <w:rsid w:val="00EF6BCC"/>
    <w:rsid w:val="00F00647"/>
    <w:rsid w:val="00F00D6F"/>
    <w:rsid w:val="00F00ECB"/>
    <w:rsid w:val="00F01941"/>
    <w:rsid w:val="00F025FC"/>
    <w:rsid w:val="00F03895"/>
    <w:rsid w:val="00F03C44"/>
    <w:rsid w:val="00F04C68"/>
    <w:rsid w:val="00F04EE1"/>
    <w:rsid w:val="00F05717"/>
    <w:rsid w:val="00F06580"/>
    <w:rsid w:val="00F06A34"/>
    <w:rsid w:val="00F0727A"/>
    <w:rsid w:val="00F07941"/>
    <w:rsid w:val="00F079EF"/>
    <w:rsid w:val="00F07C87"/>
    <w:rsid w:val="00F11027"/>
    <w:rsid w:val="00F1153F"/>
    <w:rsid w:val="00F11737"/>
    <w:rsid w:val="00F11C62"/>
    <w:rsid w:val="00F11FDF"/>
    <w:rsid w:val="00F12170"/>
    <w:rsid w:val="00F131BD"/>
    <w:rsid w:val="00F13322"/>
    <w:rsid w:val="00F1348E"/>
    <w:rsid w:val="00F13BDA"/>
    <w:rsid w:val="00F14311"/>
    <w:rsid w:val="00F143E7"/>
    <w:rsid w:val="00F14DF1"/>
    <w:rsid w:val="00F16AC5"/>
    <w:rsid w:val="00F17849"/>
    <w:rsid w:val="00F204FE"/>
    <w:rsid w:val="00F20550"/>
    <w:rsid w:val="00F21333"/>
    <w:rsid w:val="00F2416B"/>
    <w:rsid w:val="00F24DAB"/>
    <w:rsid w:val="00F2509B"/>
    <w:rsid w:val="00F254DD"/>
    <w:rsid w:val="00F258F4"/>
    <w:rsid w:val="00F25955"/>
    <w:rsid w:val="00F25A53"/>
    <w:rsid w:val="00F26796"/>
    <w:rsid w:val="00F2686D"/>
    <w:rsid w:val="00F27977"/>
    <w:rsid w:val="00F27B07"/>
    <w:rsid w:val="00F31E32"/>
    <w:rsid w:val="00F333E9"/>
    <w:rsid w:val="00F335D5"/>
    <w:rsid w:val="00F3390F"/>
    <w:rsid w:val="00F33F69"/>
    <w:rsid w:val="00F35014"/>
    <w:rsid w:val="00F35B8B"/>
    <w:rsid w:val="00F36361"/>
    <w:rsid w:val="00F36D59"/>
    <w:rsid w:val="00F36F62"/>
    <w:rsid w:val="00F37144"/>
    <w:rsid w:val="00F37C8E"/>
    <w:rsid w:val="00F40488"/>
    <w:rsid w:val="00F4069E"/>
    <w:rsid w:val="00F40945"/>
    <w:rsid w:val="00F410A4"/>
    <w:rsid w:val="00F41594"/>
    <w:rsid w:val="00F42148"/>
    <w:rsid w:val="00F4222B"/>
    <w:rsid w:val="00F42EBA"/>
    <w:rsid w:val="00F435FA"/>
    <w:rsid w:val="00F43E48"/>
    <w:rsid w:val="00F43EDB"/>
    <w:rsid w:val="00F448C6"/>
    <w:rsid w:val="00F4513A"/>
    <w:rsid w:val="00F45596"/>
    <w:rsid w:val="00F45AC8"/>
    <w:rsid w:val="00F45DFC"/>
    <w:rsid w:val="00F45E49"/>
    <w:rsid w:val="00F46096"/>
    <w:rsid w:val="00F462C7"/>
    <w:rsid w:val="00F4748A"/>
    <w:rsid w:val="00F502C6"/>
    <w:rsid w:val="00F50651"/>
    <w:rsid w:val="00F50716"/>
    <w:rsid w:val="00F50845"/>
    <w:rsid w:val="00F5103D"/>
    <w:rsid w:val="00F515D2"/>
    <w:rsid w:val="00F51965"/>
    <w:rsid w:val="00F519D7"/>
    <w:rsid w:val="00F51A65"/>
    <w:rsid w:val="00F52CF5"/>
    <w:rsid w:val="00F536D4"/>
    <w:rsid w:val="00F541DC"/>
    <w:rsid w:val="00F54362"/>
    <w:rsid w:val="00F54626"/>
    <w:rsid w:val="00F55029"/>
    <w:rsid w:val="00F55298"/>
    <w:rsid w:val="00F552F3"/>
    <w:rsid w:val="00F55AD6"/>
    <w:rsid w:val="00F55EB8"/>
    <w:rsid w:val="00F561E7"/>
    <w:rsid w:val="00F56B7A"/>
    <w:rsid w:val="00F5791A"/>
    <w:rsid w:val="00F579DD"/>
    <w:rsid w:val="00F60270"/>
    <w:rsid w:val="00F60B6F"/>
    <w:rsid w:val="00F60EA0"/>
    <w:rsid w:val="00F61483"/>
    <w:rsid w:val="00F62E4F"/>
    <w:rsid w:val="00F6382A"/>
    <w:rsid w:val="00F63B81"/>
    <w:rsid w:val="00F65A19"/>
    <w:rsid w:val="00F66950"/>
    <w:rsid w:val="00F66F2F"/>
    <w:rsid w:val="00F67A61"/>
    <w:rsid w:val="00F67C38"/>
    <w:rsid w:val="00F70276"/>
    <w:rsid w:val="00F703FF"/>
    <w:rsid w:val="00F70424"/>
    <w:rsid w:val="00F709C5"/>
    <w:rsid w:val="00F70DD7"/>
    <w:rsid w:val="00F70F56"/>
    <w:rsid w:val="00F71ACB"/>
    <w:rsid w:val="00F724EA"/>
    <w:rsid w:val="00F7293A"/>
    <w:rsid w:val="00F72A3A"/>
    <w:rsid w:val="00F72D37"/>
    <w:rsid w:val="00F736F9"/>
    <w:rsid w:val="00F74489"/>
    <w:rsid w:val="00F754B1"/>
    <w:rsid w:val="00F77937"/>
    <w:rsid w:val="00F8020A"/>
    <w:rsid w:val="00F810A0"/>
    <w:rsid w:val="00F8295B"/>
    <w:rsid w:val="00F82DE4"/>
    <w:rsid w:val="00F834F0"/>
    <w:rsid w:val="00F836EF"/>
    <w:rsid w:val="00F83862"/>
    <w:rsid w:val="00F84308"/>
    <w:rsid w:val="00F84F58"/>
    <w:rsid w:val="00F8615A"/>
    <w:rsid w:val="00F86319"/>
    <w:rsid w:val="00F8659F"/>
    <w:rsid w:val="00F86788"/>
    <w:rsid w:val="00F86E86"/>
    <w:rsid w:val="00F87B06"/>
    <w:rsid w:val="00F904CA"/>
    <w:rsid w:val="00F906C7"/>
    <w:rsid w:val="00F91344"/>
    <w:rsid w:val="00F9151B"/>
    <w:rsid w:val="00F925DE"/>
    <w:rsid w:val="00F938C2"/>
    <w:rsid w:val="00F93FE3"/>
    <w:rsid w:val="00F942EE"/>
    <w:rsid w:val="00F94408"/>
    <w:rsid w:val="00F956FB"/>
    <w:rsid w:val="00F957EB"/>
    <w:rsid w:val="00F95A8D"/>
    <w:rsid w:val="00F963DB"/>
    <w:rsid w:val="00F9718F"/>
    <w:rsid w:val="00F977FB"/>
    <w:rsid w:val="00F97B8F"/>
    <w:rsid w:val="00F97FB5"/>
    <w:rsid w:val="00FA034E"/>
    <w:rsid w:val="00FA0B70"/>
    <w:rsid w:val="00FA11E0"/>
    <w:rsid w:val="00FA130A"/>
    <w:rsid w:val="00FA1D4B"/>
    <w:rsid w:val="00FA1F71"/>
    <w:rsid w:val="00FA432F"/>
    <w:rsid w:val="00FA4576"/>
    <w:rsid w:val="00FA4C8E"/>
    <w:rsid w:val="00FA5308"/>
    <w:rsid w:val="00FA57C5"/>
    <w:rsid w:val="00FA5940"/>
    <w:rsid w:val="00FA6658"/>
    <w:rsid w:val="00FA68BF"/>
    <w:rsid w:val="00FA69EA"/>
    <w:rsid w:val="00FA721B"/>
    <w:rsid w:val="00FA7900"/>
    <w:rsid w:val="00FA7AF8"/>
    <w:rsid w:val="00FB04A8"/>
    <w:rsid w:val="00FB21F9"/>
    <w:rsid w:val="00FB2341"/>
    <w:rsid w:val="00FB25E6"/>
    <w:rsid w:val="00FB26AD"/>
    <w:rsid w:val="00FB277F"/>
    <w:rsid w:val="00FB2B56"/>
    <w:rsid w:val="00FB3471"/>
    <w:rsid w:val="00FB44ED"/>
    <w:rsid w:val="00FB45B4"/>
    <w:rsid w:val="00FB54CA"/>
    <w:rsid w:val="00FB5B41"/>
    <w:rsid w:val="00FB6238"/>
    <w:rsid w:val="00FB7D5A"/>
    <w:rsid w:val="00FC0638"/>
    <w:rsid w:val="00FC161A"/>
    <w:rsid w:val="00FC24B4"/>
    <w:rsid w:val="00FC2D1D"/>
    <w:rsid w:val="00FC2FCF"/>
    <w:rsid w:val="00FC2FF3"/>
    <w:rsid w:val="00FC3677"/>
    <w:rsid w:val="00FC3824"/>
    <w:rsid w:val="00FC4814"/>
    <w:rsid w:val="00FC4E06"/>
    <w:rsid w:val="00FC5221"/>
    <w:rsid w:val="00FC649F"/>
    <w:rsid w:val="00FC65D6"/>
    <w:rsid w:val="00FD0C6A"/>
    <w:rsid w:val="00FD0CDF"/>
    <w:rsid w:val="00FD183F"/>
    <w:rsid w:val="00FD1951"/>
    <w:rsid w:val="00FD1984"/>
    <w:rsid w:val="00FD29DF"/>
    <w:rsid w:val="00FD2A61"/>
    <w:rsid w:val="00FD30F1"/>
    <w:rsid w:val="00FD3713"/>
    <w:rsid w:val="00FD386A"/>
    <w:rsid w:val="00FD388C"/>
    <w:rsid w:val="00FD3CFF"/>
    <w:rsid w:val="00FD4ADF"/>
    <w:rsid w:val="00FD5374"/>
    <w:rsid w:val="00FD55DD"/>
    <w:rsid w:val="00FD57EF"/>
    <w:rsid w:val="00FD5B24"/>
    <w:rsid w:val="00FD6B34"/>
    <w:rsid w:val="00FE0246"/>
    <w:rsid w:val="00FE0495"/>
    <w:rsid w:val="00FE0C5D"/>
    <w:rsid w:val="00FE1C82"/>
    <w:rsid w:val="00FE3320"/>
    <w:rsid w:val="00FE39E0"/>
    <w:rsid w:val="00FE3A17"/>
    <w:rsid w:val="00FE3C91"/>
    <w:rsid w:val="00FE43A3"/>
    <w:rsid w:val="00FE44BD"/>
    <w:rsid w:val="00FE4872"/>
    <w:rsid w:val="00FE4C41"/>
    <w:rsid w:val="00FF08A2"/>
    <w:rsid w:val="00FF20E3"/>
    <w:rsid w:val="00FF2DA4"/>
    <w:rsid w:val="00FF3543"/>
    <w:rsid w:val="00FF362C"/>
    <w:rsid w:val="00FF3E00"/>
    <w:rsid w:val="00FF48D6"/>
    <w:rsid w:val="00FF499D"/>
    <w:rsid w:val="00FF5DC8"/>
    <w:rsid w:val="00FF61CB"/>
    <w:rsid w:val="00FF77C9"/>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table of figures" w:locked="1"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Body Text" w:uiPriority="1"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uiPriority="99"/>
    <w:lsdException w:name="annotation subject" w:uiPriority="99"/>
    <w:lsdException w:name="No List" w:locked="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FD"/>
    <w:pPr>
      <w:spacing w:after="120"/>
    </w:pPr>
    <w:rPr>
      <w:sz w:val="24"/>
    </w:rPr>
  </w:style>
  <w:style w:type="paragraph" w:styleId="Heading1">
    <w:name w:val="heading 1"/>
    <w:aliases w:val="H1,L1,h1,Text Bos,1 ghost,g"/>
    <w:basedOn w:val="Normal"/>
    <w:next w:val="Normal"/>
    <w:link w:val="Heading1Char"/>
    <w:uiPriority w:val="1"/>
    <w:qFormat/>
    <w:rsid w:val="00C359C0"/>
    <w:pPr>
      <w:keepNext/>
      <w:keepLines/>
      <w:numPr>
        <w:numId w:val="2"/>
      </w:numPr>
      <w:tabs>
        <w:tab w:val="left" w:pos="720"/>
        <w:tab w:val="left" w:pos="1440"/>
        <w:tab w:val="left" w:pos="2160"/>
        <w:tab w:val="right" w:pos="8640"/>
      </w:tabs>
      <w:spacing w:before="240" w:after="240"/>
      <w:outlineLvl w:val="0"/>
    </w:pPr>
    <w:rPr>
      <w:b/>
      <w:sz w:val="36"/>
    </w:rPr>
  </w:style>
  <w:style w:type="paragraph" w:styleId="Heading2">
    <w:name w:val="heading 2"/>
    <w:aliases w:val="h2,H2,l2,L2,Text Box,2 headline,h,Header2"/>
    <w:basedOn w:val="Heading1"/>
    <w:next w:val="Normal"/>
    <w:link w:val="Heading2Char"/>
    <w:uiPriority w:val="1"/>
    <w:qFormat/>
    <w:rsid w:val="00102424"/>
    <w:pPr>
      <w:numPr>
        <w:ilvl w:val="1"/>
      </w:numPr>
      <w:spacing w:after="120"/>
      <w:outlineLvl w:val="1"/>
    </w:pPr>
    <w:rPr>
      <w:sz w:val="24"/>
      <w:szCs w:val="24"/>
    </w:rPr>
  </w:style>
  <w:style w:type="paragraph" w:styleId="Heading3">
    <w:name w:val="heading 3"/>
    <w:aliases w:val="h3,L3,3 bullet,2,H3,head3hdbk"/>
    <w:basedOn w:val="Heading1"/>
    <w:next w:val="Normal"/>
    <w:link w:val="Heading3Char"/>
    <w:uiPriority w:val="1"/>
    <w:qFormat/>
    <w:rsid w:val="00001B28"/>
    <w:pPr>
      <w:numPr>
        <w:ilvl w:val="2"/>
      </w:numPr>
      <w:tabs>
        <w:tab w:val="clear" w:pos="900"/>
        <w:tab w:val="num" w:pos="720"/>
      </w:tabs>
      <w:spacing w:before="120" w:after="120"/>
      <w:ind w:left="720"/>
      <w:outlineLvl w:val="2"/>
    </w:pPr>
    <w:rPr>
      <w:sz w:val="24"/>
    </w:rPr>
  </w:style>
  <w:style w:type="paragraph" w:styleId="Heading4">
    <w:name w:val="heading 4"/>
    <w:aliases w:val="h4,l4,L4,4 dash,d,3,headhbk"/>
    <w:basedOn w:val="Normal"/>
    <w:next w:val="Normal"/>
    <w:uiPriority w:val="1"/>
    <w:qFormat/>
    <w:rsid w:val="00001B28"/>
    <w:pPr>
      <w:keepLines/>
      <w:numPr>
        <w:ilvl w:val="3"/>
        <w:numId w:val="2"/>
      </w:numPr>
      <w:tabs>
        <w:tab w:val="left" w:pos="1008"/>
      </w:tabs>
      <w:outlineLvl w:val="3"/>
    </w:pPr>
    <w:rPr>
      <w:b/>
      <w:szCs w:val="24"/>
    </w:rPr>
  </w:style>
  <w:style w:type="paragraph" w:styleId="Heading5">
    <w:name w:val="heading 5"/>
    <w:aliases w:val="h5,l5,5 sub-bullet,4"/>
    <w:basedOn w:val="Normal"/>
    <w:next w:val="NormalIndent"/>
    <w:qFormat/>
    <w:rsid w:val="00CD3BA6"/>
    <w:pPr>
      <w:keepLines/>
      <w:numPr>
        <w:ilvl w:val="4"/>
        <w:numId w:val="2"/>
      </w:numPr>
      <w:outlineLvl w:val="4"/>
    </w:pPr>
    <w:rPr>
      <w:rFonts w:ascii="Times" w:hAnsi="Times"/>
      <w:b/>
    </w:rPr>
  </w:style>
  <w:style w:type="paragraph" w:styleId="Heading6">
    <w:name w:val="heading 6"/>
    <w:aliases w:val="h6,l6,sub-dash,sd,5,ATTACHMENT"/>
    <w:basedOn w:val="Normal"/>
    <w:next w:val="NormalIndent"/>
    <w:qFormat/>
    <w:rsid w:val="00DE42A0"/>
    <w:pPr>
      <w:keepLines/>
      <w:numPr>
        <w:ilvl w:val="5"/>
        <w:numId w:val="2"/>
      </w:numPr>
      <w:spacing w:after="240"/>
      <w:outlineLvl w:val="5"/>
    </w:pPr>
    <w:rPr>
      <w:rFonts w:ascii="Times" w:hAnsi="Times"/>
      <w:u w:val="single"/>
    </w:rPr>
  </w:style>
  <w:style w:type="paragraph" w:styleId="Heading7">
    <w:name w:val="heading 7"/>
    <w:aliases w:val="h7,l7"/>
    <w:basedOn w:val="Normal"/>
    <w:next w:val="NormalIndent"/>
    <w:qFormat/>
    <w:rsid w:val="00DE42A0"/>
    <w:pPr>
      <w:keepLines/>
      <w:numPr>
        <w:ilvl w:val="6"/>
        <w:numId w:val="2"/>
      </w:numPr>
      <w:spacing w:after="240"/>
      <w:outlineLvl w:val="6"/>
    </w:pPr>
    <w:rPr>
      <w:rFonts w:ascii="Times" w:hAnsi="Times"/>
      <w:i/>
    </w:rPr>
  </w:style>
  <w:style w:type="paragraph" w:styleId="Heading8">
    <w:name w:val="heading 8"/>
    <w:aliases w:val="h8"/>
    <w:basedOn w:val="Normal"/>
    <w:next w:val="NormalIndent"/>
    <w:qFormat/>
    <w:rsid w:val="00DE42A0"/>
    <w:pPr>
      <w:keepLines/>
      <w:numPr>
        <w:ilvl w:val="7"/>
        <w:numId w:val="2"/>
      </w:numPr>
      <w:spacing w:after="240"/>
      <w:outlineLvl w:val="7"/>
    </w:pPr>
    <w:rPr>
      <w:rFonts w:ascii="Times" w:hAnsi="Times"/>
      <w:i/>
    </w:rPr>
  </w:style>
  <w:style w:type="paragraph" w:styleId="Heading9">
    <w:name w:val="heading 9"/>
    <w:aliases w:val="h9"/>
    <w:basedOn w:val="Normal"/>
    <w:next w:val="NormalIndent"/>
    <w:qFormat/>
    <w:rsid w:val="00DE42A0"/>
    <w:pPr>
      <w:keepLines/>
      <w:numPr>
        <w:ilvl w:val="8"/>
        <w:numId w:val="2"/>
      </w:numPr>
      <w:spacing w:after="24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Text Bos Char,1 ghost Char,g Char"/>
    <w:basedOn w:val="DefaultParagraphFont"/>
    <w:link w:val="Heading1"/>
    <w:uiPriority w:val="1"/>
    <w:locked/>
    <w:rsid w:val="00C359C0"/>
    <w:rPr>
      <w:b/>
      <w:sz w:val="36"/>
    </w:rPr>
  </w:style>
  <w:style w:type="character" w:customStyle="1" w:styleId="Heading2Char">
    <w:name w:val="Heading 2 Char"/>
    <w:aliases w:val="h2 Char,H2 Char,l2 Char,L2 Char,Text Box Char,2 headline Char,h Char,Header2 Char"/>
    <w:basedOn w:val="Heading1Char"/>
    <w:link w:val="Heading2"/>
    <w:uiPriority w:val="1"/>
    <w:locked/>
    <w:rsid w:val="00102424"/>
    <w:rPr>
      <w:b/>
      <w:sz w:val="24"/>
      <w:szCs w:val="24"/>
    </w:rPr>
  </w:style>
  <w:style w:type="paragraph" w:styleId="NormalIndent">
    <w:name w:val="Normal Indent"/>
    <w:basedOn w:val="Normal"/>
    <w:rsid w:val="00DE42A0"/>
    <w:pPr>
      <w:keepLines/>
      <w:spacing w:after="240"/>
      <w:ind w:left="720"/>
    </w:pPr>
  </w:style>
  <w:style w:type="paragraph" w:styleId="BodyText">
    <w:name w:val="Body Text"/>
    <w:basedOn w:val="Normal"/>
    <w:link w:val="BodyTextChar"/>
    <w:uiPriority w:val="1"/>
    <w:qFormat/>
    <w:rsid w:val="00DE42A0"/>
    <w:pPr>
      <w:keepLines/>
      <w:spacing w:after="240"/>
    </w:pPr>
    <w:rPr>
      <w:i/>
    </w:rPr>
  </w:style>
  <w:style w:type="paragraph" w:customStyle="1" w:styleId="NormalNoSpace">
    <w:name w:val="Normal No Space"/>
    <w:basedOn w:val="Normal"/>
    <w:rsid w:val="00DE42A0"/>
    <w:pPr>
      <w:keepLines/>
    </w:pPr>
  </w:style>
  <w:style w:type="paragraph" w:styleId="TOC1">
    <w:name w:val="toc 1"/>
    <w:aliases w:val="tc1"/>
    <w:basedOn w:val="Normal"/>
    <w:next w:val="Normal"/>
    <w:autoRedefine/>
    <w:uiPriority w:val="39"/>
    <w:qFormat/>
    <w:rsid w:val="00CC35B8"/>
    <w:pPr>
      <w:keepLines/>
      <w:tabs>
        <w:tab w:val="left" w:pos="1440"/>
        <w:tab w:val="right" w:leader="dot" w:pos="9360"/>
      </w:tabs>
      <w:spacing w:before="120"/>
      <w:ind w:right="180"/>
    </w:pPr>
    <w:rPr>
      <w:b/>
      <w:caps/>
    </w:rPr>
  </w:style>
  <w:style w:type="paragraph" w:styleId="TOC2">
    <w:name w:val="toc 2"/>
    <w:aliases w:val="tc2"/>
    <w:basedOn w:val="Normal"/>
    <w:next w:val="Normal"/>
    <w:autoRedefine/>
    <w:uiPriority w:val="39"/>
    <w:qFormat/>
    <w:rsid w:val="00CC35B8"/>
    <w:pPr>
      <w:keepLines/>
      <w:tabs>
        <w:tab w:val="left" w:pos="1440"/>
        <w:tab w:val="right" w:leader="dot" w:pos="9360"/>
      </w:tabs>
      <w:ind w:left="240" w:right="180"/>
    </w:pPr>
    <w:rPr>
      <w:smallCaps/>
    </w:rPr>
  </w:style>
  <w:style w:type="paragraph" w:styleId="TOC3">
    <w:name w:val="toc 3"/>
    <w:basedOn w:val="Normal"/>
    <w:next w:val="Normal"/>
    <w:autoRedefine/>
    <w:uiPriority w:val="39"/>
    <w:qFormat/>
    <w:rsid w:val="00CC35B8"/>
    <w:pPr>
      <w:keepLines/>
      <w:tabs>
        <w:tab w:val="left" w:pos="1440"/>
        <w:tab w:val="right" w:leader="dot" w:pos="9360"/>
      </w:tabs>
      <w:ind w:left="1440" w:right="360" w:hanging="960"/>
    </w:pPr>
    <w:rPr>
      <w:i/>
    </w:rPr>
  </w:style>
  <w:style w:type="paragraph" w:styleId="TOC4">
    <w:name w:val="toc 4"/>
    <w:basedOn w:val="Normal"/>
    <w:next w:val="Normal"/>
    <w:autoRedefine/>
    <w:uiPriority w:val="39"/>
    <w:rsid w:val="00DE42A0"/>
    <w:pPr>
      <w:keepLines/>
      <w:ind w:left="720"/>
    </w:pPr>
    <w:rPr>
      <w:sz w:val="18"/>
    </w:rPr>
  </w:style>
  <w:style w:type="paragraph" w:styleId="BodyTextIndent">
    <w:name w:val="Body Text Indent"/>
    <w:basedOn w:val="Normal"/>
    <w:rsid w:val="00DE42A0"/>
    <w:pPr>
      <w:keepLines/>
      <w:spacing w:after="240"/>
      <w:jc w:val="both"/>
    </w:pPr>
  </w:style>
  <w:style w:type="paragraph" w:customStyle="1" w:styleId="jimsub">
    <w:name w:val="jimsub"/>
    <w:basedOn w:val="Normal"/>
    <w:rsid w:val="00DE42A0"/>
    <w:rPr>
      <w:b/>
      <w:noProof/>
      <w:sz w:val="28"/>
    </w:rPr>
  </w:style>
  <w:style w:type="paragraph" w:styleId="Header">
    <w:name w:val="header"/>
    <w:basedOn w:val="Normal"/>
    <w:link w:val="HeaderChar"/>
    <w:uiPriority w:val="99"/>
    <w:rsid w:val="00DE42A0"/>
    <w:pPr>
      <w:keepLines/>
      <w:tabs>
        <w:tab w:val="center" w:pos="4320"/>
        <w:tab w:val="right" w:pos="8640"/>
      </w:tabs>
      <w:spacing w:after="480"/>
    </w:pPr>
    <w:rPr>
      <w:rFonts w:ascii="Helvetica" w:hAnsi="Helvetica"/>
      <w:sz w:val="16"/>
    </w:rPr>
  </w:style>
  <w:style w:type="paragraph" w:styleId="Footer">
    <w:name w:val="footer"/>
    <w:aliases w:val="f1"/>
    <w:basedOn w:val="Normal"/>
    <w:link w:val="FooterChar"/>
    <w:uiPriority w:val="99"/>
    <w:rsid w:val="00DE42A0"/>
    <w:pPr>
      <w:keepLines/>
      <w:tabs>
        <w:tab w:val="center" w:pos="4320"/>
        <w:tab w:val="right" w:pos="8640"/>
      </w:tabs>
      <w:spacing w:after="240"/>
    </w:pPr>
    <w:rPr>
      <w:sz w:val="16"/>
    </w:rPr>
  </w:style>
  <w:style w:type="character" w:styleId="CommentReference">
    <w:name w:val="annotation reference"/>
    <w:basedOn w:val="DefaultParagraphFont"/>
    <w:uiPriority w:val="99"/>
    <w:semiHidden/>
    <w:rsid w:val="00DE42A0"/>
    <w:rPr>
      <w:rFonts w:cs="Times New Roman"/>
      <w:sz w:val="16"/>
    </w:rPr>
  </w:style>
  <w:style w:type="paragraph" w:styleId="CommentText">
    <w:name w:val="annotation text"/>
    <w:basedOn w:val="Normal"/>
    <w:link w:val="CommentTextChar"/>
    <w:uiPriority w:val="99"/>
    <w:semiHidden/>
    <w:rsid w:val="00DE42A0"/>
  </w:style>
  <w:style w:type="paragraph" w:styleId="DocumentMap">
    <w:name w:val="Document Map"/>
    <w:basedOn w:val="Normal"/>
    <w:semiHidden/>
    <w:rsid w:val="00DE42A0"/>
    <w:pPr>
      <w:shd w:val="clear" w:color="auto" w:fill="000080"/>
    </w:pPr>
    <w:rPr>
      <w:rFonts w:ascii="Tahoma" w:hAnsi="Tahoma"/>
    </w:rPr>
  </w:style>
  <w:style w:type="paragraph" w:customStyle="1" w:styleId="Paragraph1">
    <w:name w:val="Paragraph_1"/>
    <w:basedOn w:val="Normal"/>
    <w:rsid w:val="00DE42A0"/>
    <w:pPr>
      <w:keepLines/>
      <w:spacing w:before="60" w:after="200"/>
      <w:ind w:left="1440"/>
      <w:jc w:val="both"/>
    </w:pPr>
  </w:style>
  <w:style w:type="paragraph" w:styleId="BalloonText">
    <w:name w:val="Balloon Text"/>
    <w:basedOn w:val="Normal"/>
    <w:rsid w:val="00CB3BC8"/>
    <w:rPr>
      <w:rFonts w:ascii="Tahoma" w:hAnsi="Tahoma" w:cs="Tahoma"/>
      <w:sz w:val="16"/>
      <w:szCs w:val="16"/>
    </w:rPr>
  </w:style>
  <w:style w:type="paragraph" w:styleId="FootnoteText">
    <w:name w:val="footnote text"/>
    <w:basedOn w:val="Normal"/>
    <w:link w:val="FootnoteTextChar"/>
    <w:uiPriority w:val="99"/>
    <w:semiHidden/>
    <w:rsid w:val="0088055B"/>
    <w:rPr>
      <w:sz w:val="20"/>
    </w:rPr>
  </w:style>
  <w:style w:type="character" w:styleId="FootnoteReference">
    <w:name w:val="footnote reference"/>
    <w:basedOn w:val="DefaultParagraphFont"/>
    <w:uiPriority w:val="99"/>
    <w:semiHidden/>
    <w:rsid w:val="0088055B"/>
    <w:rPr>
      <w:rFonts w:cs="Times New Roman"/>
      <w:vertAlign w:val="superscript"/>
    </w:rPr>
  </w:style>
  <w:style w:type="paragraph" w:styleId="Date">
    <w:name w:val="Date"/>
    <w:basedOn w:val="Normal"/>
    <w:next w:val="Normal"/>
    <w:rsid w:val="002B625C"/>
  </w:style>
  <w:style w:type="paragraph" w:customStyle="1" w:styleId="Bullet">
    <w:name w:val="Bullet"/>
    <w:basedOn w:val="NormalNoSpace"/>
    <w:rsid w:val="006169E4"/>
    <w:pPr>
      <w:numPr>
        <w:numId w:val="1"/>
      </w:numPr>
    </w:pPr>
  </w:style>
  <w:style w:type="character" w:styleId="Hyperlink">
    <w:name w:val="Hyperlink"/>
    <w:basedOn w:val="DefaultParagraphFont"/>
    <w:uiPriority w:val="99"/>
    <w:rsid w:val="00F25955"/>
    <w:rPr>
      <w:rFonts w:cs="Times New Roman"/>
      <w:color w:val="0000FF"/>
      <w:u w:val="single"/>
    </w:rPr>
  </w:style>
  <w:style w:type="paragraph" w:styleId="TOC5">
    <w:name w:val="toc 5"/>
    <w:basedOn w:val="Normal"/>
    <w:next w:val="Normal"/>
    <w:autoRedefine/>
    <w:uiPriority w:val="39"/>
    <w:rsid w:val="004F5621"/>
    <w:pPr>
      <w:ind w:left="960"/>
    </w:pPr>
  </w:style>
  <w:style w:type="paragraph" w:styleId="NormalWeb">
    <w:name w:val="Normal (Web)"/>
    <w:basedOn w:val="Normal"/>
    <w:uiPriority w:val="99"/>
    <w:rsid w:val="00DC3312"/>
    <w:pPr>
      <w:spacing w:before="100" w:beforeAutospacing="1" w:after="100" w:afterAutospacing="1"/>
    </w:pPr>
    <w:rPr>
      <w:rFonts w:eastAsia="MS Mincho"/>
      <w:szCs w:val="24"/>
      <w:lang w:eastAsia="ja-JP"/>
    </w:rPr>
  </w:style>
  <w:style w:type="character" w:styleId="Strong">
    <w:name w:val="Strong"/>
    <w:basedOn w:val="DefaultParagraphFont"/>
    <w:qFormat/>
    <w:rsid w:val="00DC3312"/>
    <w:rPr>
      <w:rFonts w:cs="Times New Roman"/>
      <w:b/>
      <w:bCs/>
    </w:rPr>
  </w:style>
  <w:style w:type="paragraph" w:styleId="CommentSubject">
    <w:name w:val="annotation subject"/>
    <w:basedOn w:val="CommentText"/>
    <w:next w:val="CommentText"/>
    <w:link w:val="CommentSubjectChar"/>
    <w:uiPriority w:val="99"/>
    <w:semiHidden/>
    <w:rsid w:val="004F184A"/>
    <w:rPr>
      <w:b/>
      <w:bCs/>
      <w:sz w:val="20"/>
    </w:rPr>
  </w:style>
  <w:style w:type="character" w:styleId="PageNumber">
    <w:name w:val="page number"/>
    <w:basedOn w:val="DefaultParagraphFont"/>
    <w:rsid w:val="0043118B"/>
    <w:rPr>
      <w:rFonts w:cs="Times New Roman"/>
    </w:rPr>
  </w:style>
  <w:style w:type="paragraph" w:styleId="Caption">
    <w:name w:val="caption"/>
    <w:basedOn w:val="Normal"/>
    <w:next w:val="Normal"/>
    <w:qFormat/>
    <w:rsid w:val="005B475B"/>
    <w:rPr>
      <w:b/>
      <w:bCs/>
      <w:sz w:val="20"/>
    </w:rPr>
  </w:style>
  <w:style w:type="paragraph" w:customStyle="1" w:styleId="Default">
    <w:name w:val="Default"/>
    <w:link w:val="DefaultChar"/>
    <w:rsid w:val="00EC325C"/>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EC325C"/>
    <w:rPr>
      <w:rFonts w:ascii="Arial" w:hAnsi="Arial" w:cs="Arial"/>
      <w:color w:val="000000"/>
      <w:sz w:val="24"/>
      <w:szCs w:val="24"/>
      <w:lang w:val="en-US" w:eastAsia="en-US" w:bidi="ar-SA"/>
    </w:rPr>
  </w:style>
  <w:style w:type="table" w:styleId="TableGrid">
    <w:name w:val="Table Grid"/>
    <w:basedOn w:val="TableNormal"/>
    <w:rsid w:val="005268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locked/>
    <w:rsid w:val="00D9427A"/>
    <w:rPr>
      <w:rFonts w:cs="Times New Roman"/>
      <w:i/>
      <w:snapToGrid w:val="0"/>
      <w:sz w:val="24"/>
    </w:rPr>
  </w:style>
  <w:style w:type="paragraph" w:customStyle="1" w:styleId="Bullet1">
    <w:name w:val="Bullet1"/>
    <w:basedOn w:val="Normal"/>
    <w:rsid w:val="007F0F6F"/>
    <w:pPr>
      <w:numPr>
        <w:numId w:val="3"/>
      </w:numPr>
      <w:spacing w:before="120" w:after="0"/>
    </w:pPr>
  </w:style>
  <w:style w:type="paragraph" w:customStyle="1" w:styleId="AppHeading1">
    <w:name w:val="AppHeading 1"/>
    <w:aliases w:val="A1"/>
    <w:basedOn w:val="Normal"/>
    <w:next w:val="Normal"/>
    <w:autoRedefine/>
    <w:rsid w:val="004A0C06"/>
    <w:pPr>
      <w:keepNext/>
      <w:numPr>
        <w:numId w:val="5"/>
      </w:numPr>
      <w:autoSpaceDE w:val="0"/>
      <w:autoSpaceDN w:val="0"/>
      <w:adjustRightInd w:val="0"/>
      <w:spacing w:before="360" w:after="0"/>
      <w:outlineLvl w:val="0"/>
    </w:pPr>
    <w:rPr>
      <w:rFonts w:ascii="Arial Bold" w:hAnsi="Arial Bold"/>
      <w:b/>
      <w:color w:val="0000FF"/>
      <w:sz w:val="36"/>
    </w:rPr>
  </w:style>
  <w:style w:type="paragraph" w:customStyle="1" w:styleId="AppHeading2">
    <w:name w:val="AppHeading 2"/>
    <w:aliases w:val="A2"/>
    <w:basedOn w:val="Normal"/>
    <w:next w:val="Normal"/>
    <w:autoRedefine/>
    <w:rsid w:val="004A0C06"/>
    <w:pPr>
      <w:keepNext/>
      <w:numPr>
        <w:ilvl w:val="1"/>
        <w:numId w:val="5"/>
      </w:numPr>
      <w:autoSpaceDE w:val="0"/>
      <w:autoSpaceDN w:val="0"/>
      <w:adjustRightInd w:val="0"/>
      <w:spacing w:before="240" w:after="0"/>
      <w:outlineLvl w:val="1"/>
    </w:pPr>
    <w:rPr>
      <w:rFonts w:ascii="Arial Bold" w:hAnsi="Arial Bold"/>
      <w:b/>
      <w:color w:val="0000FF"/>
      <w:sz w:val="32"/>
    </w:rPr>
  </w:style>
  <w:style w:type="paragraph" w:customStyle="1" w:styleId="AppHeading3">
    <w:name w:val="AppHeading 3"/>
    <w:aliases w:val="A3"/>
    <w:basedOn w:val="Normal"/>
    <w:next w:val="Normal"/>
    <w:autoRedefine/>
    <w:rsid w:val="004A0C06"/>
    <w:pPr>
      <w:keepNext/>
      <w:tabs>
        <w:tab w:val="num" w:pos="2160"/>
      </w:tabs>
      <w:spacing w:before="240" w:after="80"/>
    </w:pPr>
    <w:rPr>
      <w:rFonts w:ascii="Arial Bold" w:hAnsi="Arial Bold"/>
      <w:b/>
      <w:color w:val="000000"/>
      <w:szCs w:val="24"/>
    </w:rPr>
  </w:style>
  <w:style w:type="paragraph" w:customStyle="1" w:styleId="AppHeading4">
    <w:name w:val="AppHeading 4"/>
    <w:aliases w:val="A4"/>
    <w:basedOn w:val="Normal"/>
    <w:next w:val="Normal"/>
    <w:autoRedefine/>
    <w:rsid w:val="004A0C06"/>
    <w:pPr>
      <w:numPr>
        <w:ilvl w:val="3"/>
        <w:numId w:val="5"/>
      </w:numPr>
      <w:autoSpaceDE w:val="0"/>
      <w:autoSpaceDN w:val="0"/>
      <w:adjustRightInd w:val="0"/>
      <w:spacing w:after="0"/>
      <w:outlineLvl w:val="3"/>
    </w:pPr>
    <w:rPr>
      <w:rFonts w:ascii="Arial Bold" w:hAnsi="Arial Bold"/>
      <w:b/>
      <w:color w:val="0000FF"/>
      <w:sz w:val="26"/>
    </w:rPr>
  </w:style>
  <w:style w:type="paragraph" w:customStyle="1" w:styleId="eCPCustomsTitle">
    <w:name w:val="eCP Customs Title"/>
    <w:basedOn w:val="Normal"/>
    <w:rsid w:val="004A0C06"/>
    <w:pPr>
      <w:autoSpaceDE w:val="0"/>
      <w:autoSpaceDN w:val="0"/>
      <w:adjustRightInd w:val="0"/>
      <w:spacing w:after="0"/>
      <w:jc w:val="right"/>
    </w:pPr>
    <w:rPr>
      <w:rFonts w:ascii="Arial" w:hAnsi="Arial"/>
      <w:b/>
      <w:color w:val="0000FF"/>
      <w:sz w:val="48"/>
    </w:rPr>
  </w:style>
  <w:style w:type="paragraph" w:customStyle="1" w:styleId="DocTitle">
    <w:name w:val="Doc Title"/>
    <w:rsid w:val="004A0C06"/>
    <w:pPr>
      <w:jc w:val="right"/>
    </w:pPr>
    <w:rPr>
      <w:rFonts w:ascii="Arial" w:hAnsi="Arial"/>
      <w:b/>
      <w:sz w:val="48"/>
    </w:rPr>
  </w:style>
  <w:style w:type="paragraph" w:customStyle="1" w:styleId="Draft">
    <w:name w:val="Draft"/>
    <w:rsid w:val="004A0C06"/>
    <w:pPr>
      <w:jc w:val="right"/>
    </w:pPr>
    <w:rPr>
      <w:rFonts w:ascii="Arial" w:hAnsi="Arial"/>
      <w:b/>
      <w:sz w:val="24"/>
    </w:rPr>
  </w:style>
  <w:style w:type="paragraph" w:customStyle="1" w:styleId="VersionNumber">
    <w:name w:val="Version Number"/>
    <w:rsid w:val="004A0C06"/>
    <w:pPr>
      <w:jc w:val="right"/>
    </w:pPr>
    <w:rPr>
      <w:rFonts w:ascii="Arial" w:hAnsi="Arial"/>
      <w:sz w:val="28"/>
    </w:rPr>
  </w:style>
  <w:style w:type="paragraph" w:customStyle="1" w:styleId="DocNo">
    <w:name w:val="Doc No"/>
    <w:next w:val="Normal"/>
    <w:rsid w:val="004A0C06"/>
    <w:pPr>
      <w:jc w:val="right"/>
    </w:pPr>
    <w:rPr>
      <w:rFonts w:ascii="Arial" w:hAnsi="Arial"/>
      <w:sz w:val="28"/>
    </w:rPr>
  </w:style>
  <w:style w:type="paragraph" w:customStyle="1" w:styleId="PubDate">
    <w:name w:val="PubDate"/>
    <w:rsid w:val="004A0C06"/>
    <w:pPr>
      <w:spacing w:after="120"/>
      <w:jc w:val="right"/>
    </w:pPr>
    <w:rPr>
      <w:rFonts w:ascii="Arial" w:hAnsi="Arial"/>
      <w:sz w:val="28"/>
    </w:rPr>
  </w:style>
  <w:style w:type="paragraph" w:customStyle="1" w:styleId="FrontMatterHeader">
    <w:name w:val="Front Matter Header"/>
    <w:next w:val="Normal"/>
    <w:rsid w:val="004A0C06"/>
    <w:pPr>
      <w:keepNext/>
      <w:spacing w:before="120" w:after="360"/>
      <w:jc w:val="center"/>
    </w:pPr>
    <w:rPr>
      <w:rFonts w:ascii="Arial Narrow" w:hAnsi="Arial Narrow"/>
      <w:b/>
      <w:color w:val="0000FF"/>
      <w:sz w:val="36"/>
    </w:rPr>
  </w:style>
  <w:style w:type="paragraph" w:styleId="TableofFigures">
    <w:name w:val="table of figures"/>
    <w:basedOn w:val="Normal"/>
    <w:next w:val="Normal"/>
    <w:uiPriority w:val="99"/>
    <w:rsid w:val="003E196B"/>
    <w:pPr>
      <w:tabs>
        <w:tab w:val="left" w:pos="1440"/>
        <w:tab w:val="right" w:leader="dot" w:pos="9360"/>
      </w:tabs>
      <w:spacing w:after="0"/>
      <w:ind w:left="475" w:hanging="475"/>
    </w:pPr>
  </w:style>
  <w:style w:type="paragraph" w:customStyle="1" w:styleId="GlossaryDefinition">
    <w:name w:val="GlossaryDefinition"/>
    <w:rsid w:val="004A0C06"/>
    <w:pPr>
      <w:spacing w:before="60" w:after="60"/>
    </w:pPr>
    <w:rPr>
      <w:rFonts w:ascii="Arial" w:hAnsi="Arial"/>
      <w:sz w:val="24"/>
    </w:rPr>
  </w:style>
  <w:style w:type="paragraph" w:customStyle="1" w:styleId="HeaderStyle">
    <w:name w:val="Header Style"/>
    <w:rsid w:val="004A0C06"/>
    <w:pPr>
      <w:pBdr>
        <w:bottom w:val="single" w:sz="4" w:space="4" w:color="auto"/>
      </w:pBdr>
      <w:tabs>
        <w:tab w:val="right" w:pos="9360"/>
      </w:tabs>
    </w:pPr>
    <w:rPr>
      <w:rFonts w:ascii="Arial Narrow" w:hAnsi="Arial Narrow"/>
      <w:noProof/>
      <w:sz w:val="18"/>
    </w:rPr>
  </w:style>
  <w:style w:type="paragraph" w:customStyle="1" w:styleId="SecurityLabel">
    <w:name w:val="Security Label"/>
    <w:basedOn w:val="Normal"/>
    <w:rsid w:val="004A0C06"/>
    <w:pPr>
      <w:autoSpaceDE w:val="0"/>
      <w:autoSpaceDN w:val="0"/>
      <w:adjustRightInd w:val="0"/>
      <w:spacing w:after="0"/>
      <w:jc w:val="center"/>
    </w:pPr>
    <w:rPr>
      <w:rFonts w:ascii="Arial" w:hAnsi="Arial"/>
      <w:b/>
      <w:sz w:val="28"/>
      <w:szCs w:val="16"/>
    </w:rPr>
  </w:style>
  <w:style w:type="paragraph" w:customStyle="1" w:styleId="AppHeading5">
    <w:name w:val="AppHeading 5"/>
    <w:aliases w:val="A5"/>
    <w:next w:val="Normal"/>
    <w:autoRedefine/>
    <w:rsid w:val="004A0C06"/>
    <w:pPr>
      <w:keepNext/>
      <w:tabs>
        <w:tab w:val="num" w:pos="1080"/>
      </w:tabs>
      <w:spacing w:before="120" w:line="300" w:lineRule="exact"/>
      <w:ind w:left="1080" w:hanging="360"/>
    </w:pPr>
    <w:rPr>
      <w:rFonts w:ascii="Arial Narrow" w:hAnsi="Arial Narrow"/>
      <w:b/>
      <w:color w:val="0000FF"/>
      <w:sz w:val="24"/>
    </w:rPr>
  </w:style>
  <w:style w:type="paragraph" w:styleId="ListBullet">
    <w:name w:val="List Bullet"/>
    <w:basedOn w:val="Normal"/>
    <w:autoRedefine/>
    <w:rsid w:val="004A0C06"/>
    <w:pPr>
      <w:tabs>
        <w:tab w:val="left" w:pos="1080"/>
      </w:tabs>
      <w:autoSpaceDE w:val="0"/>
      <w:autoSpaceDN w:val="0"/>
      <w:adjustRightInd w:val="0"/>
      <w:spacing w:after="0"/>
    </w:pPr>
    <w:rPr>
      <w:rFonts w:ascii="Arial" w:hAnsi="Arial"/>
      <w:sz w:val="20"/>
      <w:szCs w:val="16"/>
    </w:rPr>
  </w:style>
  <w:style w:type="paragraph" w:styleId="ListBullet2">
    <w:name w:val="List Bullet 2"/>
    <w:basedOn w:val="Normal"/>
    <w:autoRedefine/>
    <w:rsid w:val="004A0C06"/>
    <w:pPr>
      <w:numPr>
        <w:numId w:val="4"/>
      </w:numPr>
      <w:tabs>
        <w:tab w:val="clear" w:pos="720"/>
        <w:tab w:val="num" w:pos="1440"/>
        <w:tab w:val="num" w:pos="2952"/>
      </w:tabs>
      <w:autoSpaceDE w:val="0"/>
      <w:autoSpaceDN w:val="0"/>
      <w:adjustRightInd w:val="0"/>
      <w:spacing w:after="0"/>
      <w:ind w:left="1440"/>
    </w:pPr>
    <w:rPr>
      <w:rFonts w:ascii="Arial" w:hAnsi="Arial"/>
      <w:sz w:val="20"/>
      <w:szCs w:val="16"/>
    </w:rPr>
  </w:style>
  <w:style w:type="paragraph" w:styleId="ListBullet3">
    <w:name w:val="List Bullet 3"/>
    <w:basedOn w:val="Normal"/>
    <w:autoRedefine/>
    <w:rsid w:val="004A0C06"/>
    <w:pPr>
      <w:numPr>
        <w:ilvl w:val="2"/>
        <w:numId w:val="6"/>
      </w:numPr>
      <w:tabs>
        <w:tab w:val="num" w:pos="1800"/>
      </w:tabs>
      <w:autoSpaceDE w:val="0"/>
      <w:autoSpaceDN w:val="0"/>
      <w:adjustRightInd w:val="0"/>
      <w:spacing w:after="0"/>
      <w:ind w:left="1800"/>
    </w:pPr>
    <w:rPr>
      <w:rFonts w:ascii="Arial" w:hAnsi="Arial"/>
      <w:sz w:val="20"/>
      <w:szCs w:val="16"/>
    </w:rPr>
  </w:style>
  <w:style w:type="paragraph" w:styleId="ListNumber">
    <w:name w:val="List Number"/>
    <w:basedOn w:val="Normal"/>
    <w:autoRedefine/>
    <w:rsid w:val="004A0C06"/>
    <w:pPr>
      <w:numPr>
        <w:numId w:val="7"/>
      </w:numPr>
      <w:autoSpaceDE w:val="0"/>
      <w:autoSpaceDN w:val="0"/>
      <w:adjustRightInd w:val="0"/>
      <w:spacing w:after="0"/>
      <w:ind w:left="1080" w:hanging="360"/>
    </w:pPr>
    <w:rPr>
      <w:rFonts w:ascii="Arial" w:hAnsi="Arial"/>
      <w:sz w:val="20"/>
      <w:szCs w:val="16"/>
    </w:rPr>
  </w:style>
  <w:style w:type="paragraph" w:styleId="ListNumber2">
    <w:name w:val="List Number 2"/>
    <w:basedOn w:val="Normal"/>
    <w:autoRedefine/>
    <w:rsid w:val="004A0C06"/>
    <w:pPr>
      <w:numPr>
        <w:ilvl w:val="1"/>
        <w:numId w:val="7"/>
      </w:numPr>
      <w:autoSpaceDE w:val="0"/>
      <w:autoSpaceDN w:val="0"/>
      <w:adjustRightInd w:val="0"/>
      <w:spacing w:after="0"/>
      <w:ind w:left="1440" w:hanging="360"/>
    </w:pPr>
    <w:rPr>
      <w:rFonts w:ascii="Arial" w:hAnsi="Arial"/>
      <w:sz w:val="20"/>
      <w:szCs w:val="16"/>
    </w:rPr>
  </w:style>
  <w:style w:type="paragraph" w:styleId="ListNumber3">
    <w:name w:val="List Number 3"/>
    <w:basedOn w:val="Normal"/>
    <w:autoRedefine/>
    <w:rsid w:val="004A0C06"/>
    <w:pPr>
      <w:numPr>
        <w:ilvl w:val="2"/>
        <w:numId w:val="7"/>
      </w:numPr>
      <w:tabs>
        <w:tab w:val="clear" w:pos="2160"/>
        <w:tab w:val="left" w:pos="1800"/>
      </w:tabs>
      <w:autoSpaceDE w:val="0"/>
      <w:autoSpaceDN w:val="0"/>
      <w:adjustRightInd w:val="0"/>
      <w:spacing w:after="0"/>
      <w:ind w:left="1800" w:hanging="360"/>
    </w:pPr>
    <w:rPr>
      <w:rFonts w:ascii="Arial" w:hAnsi="Arial"/>
      <w:sz w:val="20"/>
      <w:szCs w:val="16"/>
    </w:rPr>
  </w:style>
  <w:style w:type="paragraph" w:styleId="TOC6">
    <w:name w:val="toc 6"/>
    <w:basedOn w:val="Normal"/>
    <w:next w:val="Normal"/>
    <w:autoRedefine/>
    <w:uiPriority w:val="39"/>
    <w:rsid w:val="004A0C06"/>
    <w:pPr>
      <w:autoSpaceDE w:val="0"/>
      <w:autoSpaceDN w:val="0"/>
      <w:adjustRightInd w:val="0"/>
      <w:spacing w:after="0"/>
      <w:ind w:left="1000"/>
    </w:pPr>
    <w:rPr>
      <w:sz w:val="18"/>
      <w:szCs w:val="18"/>
    </w:rPr>
  </w:style>
  <w:style w:type="paragraph" w:styleId="TOC7">
    <w:name w:val="toc 7"/>
    <w:basedOn w:val="Normal"/>
    <w:next w:val="Normal"/>
    <w:autoRedefine/>
    <w:uiPriority w:val="39"/>
    <w:rsid w:val="004A0C06"/>
    <w:pPr>
      <w:autoSpaceDE w:val="0"/>
      <w:autoSpaceDN w:val="0"/>
      <w:adjustRightInd w:val="0"/>
      <w:spacing w:after="0"/>
      <w:ind w:left="1200"/>
    </w:pPr>
    <w:rPr>
      <w:sz w:val="18"/>
      <w:szCs w:val="18"/>
    </w:rPr>
  </w:style>
  <w:style w:type="paragraph" w:styleId="TOC8">
    <w:name w:val="toc 8"/>
    <w:basedOn w:val="Normal"/>
    <w:next w:val="Normal"/>
    <w:autoRedefine/>
    <w:uiPriority w:val="39"/>
    <w:rsid w:val="004A0C06"/>
    <w:pPr>
      <w:autoSpaceDE w:val="0"/>
      <w:autoSpaceDN w:val="0"/>
      <w:adjustRightInd w:val="0"/>
      <w:spacing w:after="0"/>
      <w:ind w:left="1400"/>
    </w:pPr>
    <w:rPr>
      <w:sz w:val="18"/>
      <w:szCs w:val="18"/>
    </w:rPr>
  </w:style>
  <w:style w:type="paragraph" w:styleId="TOC9">
    <w:name w:val="toc 9"/>
    <w:basedOn w:val="Normal"/>
    <w:next w:val="Normal"/>
    <w:autoRedefine/>
    <w:uiPriority w:val="39"/>
    <w:rsid w:val="004A0C06"/>
    <w:pPr>
      <w:autoSpaceDE w:val="0"/>
      <w:autoSpaceDN w:val="0"/>
      <w:adjustRightInd w:val="0"/>
      <w:spacing w:after="0"/>
      <w:ind w:left="1600"/>
    </w:pPr>
    <w:rPr>
      <w:sz w:val="18"/>
      <w:szCs w:val="18"/>
    </w:rPr>
  </w:style>
  <w:style w:type="paragraph" w:customStyle="1" w:styleId="TableTitle">
    <w:name w:val="Table Title"/>
    <w:basedOn w:val="Normal"/>
    <w:next w:val="Normal"/>
    <w:rsid w:val="004A0C06"/>
    <w:pPr>
      <w:autoSpaceDE w:val="0"/>
      <w:autoSpaceDN w:val="0"/>
      <w:adjustRightInd w:val="0"/>
      <w:spacing w:after="0"/>
    </w:pPr>
    <w:rPr>
      <w:rFonts w:ascii="Arial Bold" w:hAnsi="Arial Bold"/>
      <w:b/>
      <w:sz w:val="20"/>
      <w:szCs w:val="16"/>
    </w:rPr>
  </w:style>
  <w:style w:type="paragraph" w:customStyle="1" w:styleId="TableText">
    <w:name w:val="Table Text"/>
    <w:basedOn w:val="Normal"/>
    <w:rsid w:val="004A0C06"/>
    <w:pPr>
      <w:autoSpaceDE w:val="0"/>
      <w:autoSpaceDN w:val="0"/>
      <w:adjustRightInd w:val="0"/>
      <w:spacing w:before="60" w:after="60"/>
    </w:pPr>
    <w:rPr>
      <w:rFonts w:ascii="Arial" w:hAnsi="Arial"/>
      <w:sz w:val="22"/>
      <w:szCs w:val="16"/>
    </w:rPr>
  </w:style>
  <w:style w:type="paragraph" w:customStyle="1" w:styleId="TableColhd">
    <w:name w:val="Table Colhd"/>
    <w:basedOn w:val="Normal"/>
    <w:rsid w:val="004A0C06"/>
    <w:pPr>
      <w:autoSpaceDE w:val="0"/>
      <w:autoSpaceDN w:val="0"/>
      <w:adjustRightInd w:val="0"/>
      <w:spacing w:before="60" w:after="60"/>
      <w:jc w:val="center"/>
    </w:pPr>
    <w:rPr>
      <w:rFonts w:ascii="Arial" w:hAnsi="Arial"/>
      <w:b/>
      <w:sz w:val="22"/>
    </w:rPr>
  </w:style>
  <w:style w:type="paragraph" w:customStyle="1" w:styleId="TableData">
    <w:name w:val="Table Data"/>
    <w:basedOn w:val="Normal"/>
    <w:rsid w:val="004A0C06"/>
    <w:pPr>
      <w:autoSpaceDE w:val="0"/>
      <w:autoSpaceDN w:val="0"/>
      <w:adjustRightInd w:val="0"/>
      <w:spacing w:before="60" w:after="60"/>
    </w:pPr>
    <w:rPr>
      <w:rFonts w:ascii="Arial" w:hAnsi="Arial"/>
      <w:sz w:val="20"/>
      <w:szCs w:val="16"/>
    </w:rPr>
  </w:style>
  <w:style w:type="paragraph" w:customStyle="1" w:styleId="SubmissionInfo">
    <w:name w:val="Submission Info"/>
    <w:basedOn w:val="Normal"/>
    <w:rsid w:val="004A0C06"/>
    <w:pPr>
      <w:autoSpaceDE w:val="0"/>
      <w:autoSpaceDN w:val="0"/>
      <w:adjustRightInd w:val="0"/>
      <w:spacing w:after="0"/>
      <w:ind w:right="101"/>
      <w:jc w:val="right"/>
    </w:pPr>
    <w:rPr>
      <w:rFonts w:ascii="Arial" w:hAnsi="Arial"/>
      <w:sz w:val="28"/>
      <w:szCs w:val="28"/>
    </w:rPr>
  </w:style>
  <w:style w:type="paragraph" w:customStyle="1" w:styleId="Author">
    <w:name w:val="Author"/>
    <w:rsid w:val="004A0C06"/>
    <w:pPr>
      <w:spacing w:before="60"/>
    </w:pPr>
    <w:rPr>
      <w:rFonts w:ascii="Arial" w:hAnsi="Arial"/>
      <w:sz w:val="24"/>
    </w:rPr>
  </w:style>
  <w:style w:type="paragraph" w:customStyle="1" w:styleId="BulletList">
    <w:name w:val="BulletList"/>
    <w:aliases w:val="bl"/>
    <w:rsid w:val="004A0C06"/>
    <w:pPr>
      <w:numPr>
        <w:numId w:val="8"/>
      </w:numPr>
      <w:spacing w:before="80" w:after="80"/>
    </w:pPr>
    <w:rPr>
      <w:rFonts w:ascii="Arial" w:hAnsi="Arial"/>
      <w:sz w:val="24"/>
    </w:rPr>
  </w:style>
  <w:style w:type="paragraph" w:customStyle="1" w:styleId="GlossaryTerm">
    <w:name w:val="GlossaryTerm"/>
    <w:rsid w:val="004A0C06"/>
    <w:pPr>
      <w:spacing w:before="60" w:after="60"/>
    </w:pPr>
    <w:rPr>
      <w:rFonts w:ascii="Arial" w:hAnsi="Arial"/>
      <w:b/>
      <w:sz w:val="24"/>
    </w:rPr>
  </w:style>
  <w:style w:type="paragraph" w:customStyle="1" w:styleId="Footer2">
    <w:name w:val="Footer2"/>
    <w:aliases w:val="f2"/>
    <w:next w:val="Normal"/>
    <w:rsid w:val="004A0C06"/>
    <w:pPr>
      <w:jc w:val="center"/>
    </w:pPr>
    <w:rPr>
      <w:rFonts w:ascii="Arial Narrow" w:hAnsi="Arial Narrow"/>
      <w:b/>
    </w:rPr>
  </w:style>
  <w:style w:type="paragraph" w:customStyle="1" w:styleId="pstd">
    <w:name w:val="p:std"/>
    <w:basedOn w:val="Normal"/>
    <w:rsid w:val="004A0C06"/>
    <w:pPr>
      <w:autoSpaceDE w:val="0"/>
      <w:autoSpaceDN w:val="0"/>
      <w:adjustRightInd w:val="0"/>
      <w:spacing w:before="80" w:after="80"/>
      <w:jc w:val="both"/>
    </w:pPr>
    <w:rPr>
      <w:rFonts w:ascii="Arial" w:hAnsi="Arial"/>
      <w:sz w:val="20"/>
      <w:szCs w:val="16"/>
    </w:rPr>
  </w:style>
  <w:style w:type="paragraph" w:styleId="Title">
    <w:name w:val="Title"/>
    <w:basedOn w:val="Normal"/>
    <w:link w:val="TitleChar"/>
    <w:uiPriority w:val="10"/>
    <w:qFormat/>
    <w:rsid w:val="004A0C06"/>
    <w:pPr>
      <w:autoSpaceDE w:val="0"/>
      <w:autoSpaceDN w:val="0"/>
      <w:adjustRightInd w:val="0"/>
      <w:spacing w:after="0"/>
      <w:jc w:val="center"/>
    </w:pPr>
    <w:rPr>
      <w:b/>
      <w:sz w:val="28"/>
      <w:szCs w:val="16"/>
    </w:rPr>
  </w:style>
  <w:style w:type="character" w:customStyle="1" w:styleId="TitleChar">
    <w:name w:val="Title Char"/>
    <w:basedOn w:val="DefaultParagraphFont"/>
    <w:link w:val="Title"/>
    <w:uiPriority w:val="10"/>
    <w:locked/>
    <w:rsid w:val="004A0C06"/>
    <w:rPr>
      <w:rFonts w:cs="Times New Roman"/>
      <w:b/>
      <w:sz w:val="16"/>
      <w:szCs w:val="16"/>
    </w:rPr>
  </w:style>
  <w:style w:type="paragraph" w:customStyle="1" w:styleId="eCPDeliverabletitle">
    <w:name w:val="eCP Deliverable title"/>
    <w:basedOn w:val="Normal"/>
    <w:autoRedefine/>
    <w:rsid w:val="004A0C06"/>
    <w:pPr>
      <w:autoSpaceDE w:val="0"/>
      <w:autoSpaceDN w:val="0"/>
      <w:adjustRightInd w:val="0"/>
      <w:spacing w:after="0"/>
      <w:jc w:val="right"/>
      <w:outlineLvl w:val="0"/>
    </w:pPr>
    <w:rPr>
      <w:rFonts w:ascii="Arial" w:hAnsi="Arial"/>
      <w:sz w:val="20"/>
      <w:szCs w:val="16"/>
      <w:lang w:val="fr-FR"/>
    </w:rPr>
  </w:style>
  <w:style w:type="paragraph" w:styleId="BodyText3">
    <w:name w:val="Body Text 3"/>
    <w:basedOn w:val="Normal"/>
    <w:link w:val="BodyText3Char"/>
    <w:rsid w:val="004A0C06"/>
    <w:pPr>
      <w:autoSpaceDE w:val="0"/>
      <w:autoSpaceDN w:val="0"/>
      <w:adjustRightInd w:val="0"/>
      <w:spacing w:after="0"/>
      <w:jc w:val="both"/>
    </w:pPr>
    <w:rPr>
      <w:rFonts w:ascii="Arial" w:hAnsi="Arial"/>
      <w:color w:val="000000"/>
      <w:sz w:val="20"/>
      <w:szCs w:val="16"/>
    </w:rPr>
  </w:style>
  <w:style w:type="character" w:customStyle="1" w:styleId="BodyText3Char">
    <w:name w:val="Body Text 3 Char"/>
    <w:basedOn w:val="DefaultParagraphFont"/>
    <w:link w:val="BodyText3"/>
    <w:locked/>
    <w:rsid w:val="004A0C06"/>
    <w:rPr>
      <w:rFonts w:ascii="Arial" w:hAnsi="Arial" w:cs="Times New Roman"/>
      <w:color w:val="000000"/>
      <w:sz w:val="16"/>
      <w:szCs w:val="16"/>
    </w:rPr>
  </w:style>
  <w:style w:type="paragraph" w:customStyle="1" w:styleId="GuidanceList1">
    <w:name w:val="GuidanceList1"/>
    <w:basedOn w:val="Normal"/>
    <w:rsid w:val="004A0C06"/>
    <w:pPr>
      <w:numPr>
        <w:numId w:val="9"/>
      </w:numPr>
      <w:autoSpaceDE w:val="0"/>
      <w:autoSpaceDN w:val="0"/>
      <w:adjustRightInd w:val="0"/>
      <w:spacing w:after="0"/>
    </w:pPr>
    <w:rPr>
      <w:sz w:val="20"/>
      <w:szCs w:val="16"/>
    </w:rPr>
  </w:style>
  <w:style w:type="paragraph" w:styleId="Index1">
    <w:name w:val="index 1"/>
    <w:basedOn w:val="Normal"/>
    <w:next w:val="Normal"/>
    <w:autoRedefine/>
    <w:rsid w:val="004A0C06"/>
    <w:pPr>
      <w:autoSpaceDE w:val="0"/>
      <w:autoSpaceDN w:val="0"/>
      <w:adjustRightInd w:val="0"/>
      <w:spacing w:after="0"/>
      <w:ind w:left="240" w:hanging="240"/>
    </w:pPr>
    <w:rPr>
      <w:rFonts w:ascii="Arial" w:hAnsi="Arial"/>
      <w:sz w:val="20"/>
      <w:szCs w:val="16"/>
    </w:rPr>
  </w:style>
  <w:style w:type="paragraph" w:styleId="Index2">
    <w:name w:val="index 2"/>
    <w:basedOn w:val="Normal"/>
    <w:next w:val="Normal"/>
    <w:autoRedefine/>
    <w:rsid w:val="004A0C06"/>
    <w:pPr>
      <w:autoSpaceDE w:val="0"/>
      <w:autoSpaceDN w:val="0"/>
      <w:adjustRightInd w:val="0"/>
      <w:spacing w:after="0"/>
      <w:ind w:left="480" w:hanging="240"/>
    </w:pPr>
    <w:rPr>
      <w:rFonts w:ascii="Arial" w:hAnsi="Arial"/>
      <w:sz w:val="20"/>
      <w:szCs w:val="16"/>
    </w:rPr>
  </w:style>
  <w:style w:type="paragraph" w:styleId="Index3">
    <w:name w:val="index 3"/>
    <w:basedOn w:val="Normal"/>
    <w:next w:val="Normal"/>
    <w:autoRedefine/>
    <w:rsid w:val="004A0C06"/>
    <w:pPr>
      <w:autoSpaceDE w:val="0"/>
      <w:autoSpaceDN w:val="0"/>
      <w:adjustRightInd w:val="0"/>
      <w:spacing w:after="0"/>
      <w:ind w:left="720" w:hanging="240"/>
    </w:pPr>
    <w:rPr>
      <w:rFonts w:ascii="Arial" w:hAnsi="Arial"/>
      <w:sz w:val="20"/>
      <w:szCs w:val="16"/>
    </w:rPr>
  </w:style>
  <w:style w:type="paragraph" w:styleId="Index4">
    <w:name w:val="index 4"/>
    <w:basedOn w:val="Normal"/>
    <w:next w:val="Normal"/>
    <w:autoRedefine/>
    <w:rsid w:val="004A0C06"/>
    <w:pPr>
      <w:autoSpaceDE w:val="0"/>
      <w:autoSpaceDN w:val="0"/>
      <w:adjustRightInd w:val="0"/>
      <w:spacing w:after="0"/>
      <w:ind w:left="960" w:hanging="240"/>
    </w:pPr>
    <w:rPr>
      <w:rFonts w:ascii="Arial" w:hAnsi="Arial"/>
      <w:sz w:val="20"/>
      <w:szCs w:val="16"/>
    </w:rPr>
  </w:style>
  <w:style w:type="paragraph" w:styleId="Index5">
    <w:name w:val="index 5"/>
    <w:basedOn w:val="Normal"/>
    <w:next w:val="Normal"/>
    <w:autoRedefine/>
    <w:rsid w:val="004A0C06"/>
    <w:pPr>
      <w:autoSpaceDE w:val="0"/>
      <w:autoSpaceDN w:val="0"/>
      <w:adjustRightInd w:val="0"/>
      <w:spacing w:after="0"/>
      <w:ind w:left="1200" w:hanging="240"/>
    </w:pPr>
    <w:rPr>
      <w:rFonts w:ascii="Arial" w:hAnsi="Arial"/>
      <w:sz w:val="20"/>
      <w:szCs w:val="16"/>
    </w:rPr>
  </w:style>
  <w:style w:type="paragraph" w:styleId="Index6">
    <w:name w:val="index 6"/>
    <w:basedOn w:val="Normal"/>
    <w:next w:val="Normal"/>
    <w:autoRedefine/>
    <w:rsid w:val="004A0C06"/>
    <w:pPr>
      <w:autoSpaceDE w:val="0"/>
      <w:autoSpaceDN w:val="0"/>
      <w:adjustRightInd w:val="0"/>
      <w:spacing w:after="0"/>
      <w:ind w:left="1440" w:hanging="240"/>
    </w:pPr>
    <w:rPr>
      <w:rFonts w:ascii="Arial" w:hAnsi="Arial"/>
      <w:sz w:val="20"/>
      <w:szCs w:val="16"/>
    </w:rPr>
  </w:style>
  <w:style w:type="paragraph" w:styleId="Index7">
    <w:name w:val="index 7"/>
    <w:basedOn w:val="Normal"/>
    <w:next w:val="Normal"/>
    <w:autoRedefine/>
    <w:rsid w:val="004A0C06"/>
    <w:pPr>
      <w:autoSpaceDE w:val="0"/>
      <w:autoSpaceDN w:val="0"/>
      <w:adjustRightInd w:val="0"/>
      <w:spacing w:after="0"/>
      <w:ind w:left="1680" w:hanging="240"/>
    </w:pPr>
    <w:rPr>
      <w:rFonts w:ascii="Arial" w:hAnsi="Arial"/>
      <w:sz w:val="20"/>
      <w:szCs w:val="16"/>
    </w:rPr>
  </w:style>
  <w:style w:type="paragraph" w:styleId="Index8">
    <w:name w:val="index 8"/>
    <w:basedOn w:val="Normal"/>
    <w:next w:val="Normal"/>
    <w:autoRedefine/>
    <w:rsid w:val="004A0C06"/>
    <w:pPr>
      <w:autoSpaceDE w:val="0"/>
      <w:autoSpaceDN w:val="0"/>
      <w:adjustRightInd w:val="0"/>
      <w:spacing w:after="0"/>
      <w:ind w:left="1920" w:hanging="240"/>
    </w:pPr>
    <w:rPr>
      <w:rFonts w:ascii="Arial" w:hAnsi="Arial"/>
      <w:sz w:val="20"/>
      <w:szCs w:val="16"/>
    </w:rPr>
  </w:style>
  <w:style w:type="paragraph" w:styleId="Index9">
    <w:name w:val="index 9"/>
    <w:basedOn w:val="Normal"/>
    <w:next w:val="Normal"/>
    <w:autoRedefine/>
    <w:rsid w:val="004A0C06"/>
    <w:pPr>
      <w:autoSpaceDE w:val="0"/>
      <w:autoSpaceDN w:val="0"/>
      <w:adjustRightInd w:val="0"/>
      <w:spacing w:after="0"/>
      <w:ind w:left="2160" w:hanging="240"/>
    </w:pPr>
    <w:rPr>
      <w:rFonts w:ascii="Arial" w:hAnsi="Arial"/>
      <w:sz w:val="20"/>
      <w:szCs w:val="16"/>
    </w:rPr>
  </w:style>
  <w:style w:type="paragraph" w:styleId="IndexHeading">
    <w:name w:val="index heading"/>
    <w:basedOn w:val="Normal"/>
    <w:next w:val="Index1"/>
    <w:rsid w:val="004A0C06"/>
    <w:pPr>
      <w:autoSpaceDE w:val="0"/>
      <w:autoSpaceDN w:val="0"/>
      <w:adjustRightInd w:val="0"/>
      <w:spacing w:after="0"/>
    </w:pPr>
    <w:rPr>
      <w:rFonts w:ascii="Arial" w:hAnsi="Arial"/>
      <w:sz w:val="20"/>
      <w:szCs w:val="16"/>
    </w:rPr>
  </w:style>
  <w:style w:type="paragraph" w:customStyle="1" w:styleId="Table-ListBullet">
    <w:name w:val="Table-List Bullet"/>
    <w:basedOn w:val="Normal"/>
    <w:rsid w:val="004A0C06"/>
    <w:pPr>
      <w:numPr>
        <w:numId w:val="10"/>
      </w:numPr>
      <w:spacing w:before="60" w:after="60"/>
    </w:pPr>
    <w:rPr>
      <w:rFonts w:ascii="Arial" w:hAnsi="Arial"/>
      <w:sz w:val="20"/>
      <w:szCs w:val="16"/>
    </w:rPr>
  </w:style>
  <w:style w:type="character" w:styleId="FollowedHyperlink">
    <w:name w:val="FollowedHyperlink"/>
    <w:basedOn w:val="DefaultParagraphFont"/>
    <w:rsid w:val="004A0C06"/>
    <w:rPr>
      <w:rFonts w:cs="Times New Roman"/>
      <w:color w:val="800080"/>
      <w:u w:val="single"/>
    </w:rPr>
  </w:style>
  <w:style w:type="paragraph" w:customStyle="1" w:styleId="RRText">
    <w:name w:val="RR Text"/>
    <w:basedOn w:val="Normal"/>
    <w:rsid w:val="004A0C06"/>
    <w:pPr>
      <w:spacing w:after="0"/>
    </w:pPr>
    <w:rPr>
      <w:rFonts w:ascii="Arial" w:hAnsi="Arial"/>
      <w:sz w:val="20"/>
    </w:rPr>
  </w:style>
  <w:style w:type="paragraph" w:customStyle="1" w:styleId="SuperTypeTextChar">
    <w:name w:val="Super Type Text Char"/>
    <w:basedOn w:val="Normal"/>
    <w:rsid w:val="004A0C06"/>
    <w:pPr>
      <w:autoSpaceDE w:val="0"/>
      <w:autoSpaceDN w:val="0"/>
      <w:adjustRightInd w:val="0"/>
      <w:spacing w:after="0"/>
      <w:ind w:left="-144" w:right="-144"/>
      <w:jc w:val="center"/>
    </w:pPr>
    <w:rPr>
      <w:rFonts w:ascii="Arial" w:hAnsi="Arial" w:cs="Arial"/>
      <w:color w:val="000000"/>
      <w:sz w:val="10"/>
      <w:szCs w:val="9"/>
    </w:rPr>
  </w:style>
  <w:style w:type="paragraph" w:customStyle="1" w:styleId="SubjectAreaText">
    <w:name w:val="Subject Area Text"/>
    <w:basedOn w:val="Normal"/>
    <w:rsid w:val="004A0C06"/>
    <w:pPr>
      <w:autoSpaceDE w:val="0"/>
      <w:autoSpaceDN w:val="0"/>
      <w:adjustRightInd w:val="0"/>
      <w:spacing w:after="0"/>
      <w:jc w:val="center"/>
    </w:pPr>
    <w:rPr>
      <w:rFonts w:ascii="Arial" w:hAnsi="Arial" w:cs="Arial"/>
      <w:b/>
      <w:color w:val="000000"/>
      <w:sz w:val="12"/>
      <w:szCs w:val="12"/>
    </w:rPr>
  </w:style>
  <w:style w:type="paragraph" w:customStyle="1" w:styleId="Style1">
    <w:name w:val="Style1"/>
    <w:basedOn w:val="Normal"/>
    <w:next w:val="SubjectAreaText"/>
    <w:rsid w:val="004A0C06"/>
    <w:pPr>
      <w:autoSpaceDE w:val="0"/>
      <w:autoSpaceDN w:val="0"/>
      <w:adjustRightInd w:val="0"/>
      <w:spacing w:after="0"/>
      <w:jc w:val="center"/>
    </w:pPr>
    <w:rPr>
      <w:rFonts w:ascii="Arial" w:hAnsi="Arial" w:cs="Arial"/>
      <w:color w:val="000000"/>
      <w:sz w:val="20"/>
    </w:rPr>
  </w:style>
  <w:style w:type="paragraph" w:customStyle="1" w:styleId="StyleTableText10ptLeft">
    <w:name w:val="Style Table Text + 10 pt Left"/>
    <w:basedOn w:val="TableText"/>
    <w:rsid w:val="004A0C06"/>
    <w:rPr>
      <w:sz w:val="20"/>
      <w:szCs w:val="20"/>
    </w:rPr>
  </w:style>
  <w:style w:type="character" w:customStyle="1" w:styleId="SoDAField">
    <w:name w:val="SoDA Field"/>
    <w:rsid w:val="004A0C06"/>
    <w:rPr>
      <w:color w:val="auto"/>
      <w:sz w:val="20"/>
    </w:rPr>
  </w:style>
  <w:style w:type="character" w:customStyle="1" w:styleId="SuperTypeTextCharChar1">
    <w:name w:val="Super Type Text Char Char1"/>
    <w:basedOn w:val="DefaultParagraphFont"/>
    <w:rsid w:val="004A0C06"/>
    <w:rPr>
      <w:rFonts w:ascii="Arial" w:hAnsi="Arial" w:cs="Arial"/>
      <w:color w:val="000000"/>
      <w:sz w:val="9"/>
      <w:szCs w:val="9"/>
      <w:lang w:val="en-US" w:eastAsia="en-US" w:bidi="ar-SA"/>
    </w:rPr>
  </w:style>
  <w:style w:type="paragraph" w:customStyle="1" w:styleId="Keywords">
    <w:name w:val="Keywords"/>
    <w:basedOn w:val="Heading8"/>
    <w:rsid w:val="004A0C06"/>
    <w:pPr>
      <w:keepNext/>
      <w:keepLines w:val="0"/>
      <w:numPr>
        <w:ilvl w:val="0"/>
        <w:numId w:val="0"/>
      </w:numPr>
      <w:spacing w:before="120" w:after="120"/>
      <w:jc w:val="center"/>
    </w:pPr>
    <w:rPr>
      <w:rFonts w:ascii="Arial" w:hAnsi="Arial"/>
      <w:b/>
      <w:i w:val="0"/>
      <w:sz w:val="36"/>
    </w:rPr>
  </w:style>
  <w:style w:type="paragraph" w:customStyle="1" w:styleId="TableText0">
    <w:name w:val="TableText"/>
    <w:aliases w:val="tt"/>
    <w:link w:val="TableTextChar"/>
    <w:rsid w:val="004A0C06"/>
    <w:pPr>
      <w:spacing w:before="40" w:after="40"/>
    </w:pPr>
    <w:rPr>
      <w:rFonts w:ascii="Arial" w:hAnsi="Arial"/>
    </w:rPr>
  </w:style>
  <w:style w:type="character" w:customStyle="1" w:styleId="TableTextChar">
    <w:name w:val="TableText Char"/>
    <w:aliases w:val="tt Char"/>
    <w:basedOn w:val="DefaultParagraphFont"/>
    <w:link w:val="TableText0"/>
    <w:locked/>
    <w:rsid w:val="004A0C06"/>
    <w:rPr>
      <w:rFonts w:ascii="Arial" w:hAnsi="Arial"/>
      <w:lang w:val="en-US" w:eastAsia="en-US" w:bidi="ar-SA"/>
    </w:rPr>
  </w:style>
  <w:style w:type="character" w:customStyle="1" w:styleId="SuperTypeTextCharChar">
    <w:name w:val="Super Type Text Char Char"/>
    <w:basedOn w:val="DefaultParagraphFont"/>
    <w:rsid w:val="004A0C06"/>
    <w:rPr>
      <w:rFonts w:ascii="Arial" w:hAnsi="Arial" w:cs="Arial"/>
      <w:color w:val="000000"/>
      <w:sz w:val="9"/>
      <w:szCs w:val="9"/>
      <w:lang w:val="en-US" w:eastAsia="en-US" w:bidi="ar-SA"/>
    </w:rPr>
  </w:style>
  <w:style w:type="paragraph" w:customStyle="1" w:styleId="SuperTypeText">
    <w:name w:val="Super Type Text"/>
    <w:basedOn w:val="Normal"/>
    <w:rsid w:val="004A0C06"/>
    <w:pPr>
      <w:autoSpaceDE w:val="0"/>
      <w:autoSpaceDN w:val="0"/>
      <w:adjustRightInd w:val="0"/>
      <w:spacing w:after="0"/>
      <w:ind w:left="-144" w:right="-144"/>
      <w:jc w:val="center"/>
    </w:pPr>
    <w:rPr>
      <w:rFonts w:ascii="Arial" w:hAnsi="Arial" w:cs="Arial"/>
      <w:color w:val="000000"/>
      <w:sz w:val="10"/>
      <w:szCs w:val="9"/>
    </w:rPr>
  </w:style>
  <w:style w:type="paragraph" w:customStyle="1" w:styleId="TAGCBPTitle">
    <w:name w:val="TAG CBP Title"/>
    <w:basedOn w:val="Normal"/>
    <w:rsid w:val="004A0C06"/>
    <w:pPr>
      <w:spacing w:after="0"/>
      <w:jc w:val="right"/>
    </w:pPr>
    <w:rPr>
      <w:rFonts w:ascii="Arial" w:hAnsi="Arial" w:cs="Arial"/>
      <w:b/>
      <w:bCs/>
      <w:color w:val="0000FF"/>
      <w:sz w:val="48"/>
    </w:rPr>
  </w:style>
  <w:style w:type="paragraph" w:customStyle="1" w:styleId="xl24">
    <w:name w:val="xl24"/>
    <w:basedOn w:val="Normal"/>
    <w:rsid w:val="004A0C06"/>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top"/>
    </w:pPr>
    <w:rPr>
      <w:rFonts w:ascii="Arial" w:eastAsia="Arial Unicode MS" w:hAnsi="Arial" w:cs="Arial"/>
      <w:b/>
      <w:bCs/>
      <w:szCs w:val="24"/>
    </w:rPr>
  </w:style>
  <w:style w:type="paragraph" w:customStyle="1" w:styleId="xl25">
    <w:name w:val="xl25"/>
    <w:basedOn w:val="Normal"/>
    <w:link w:val="xl25Char"/>
    <w:rsid w:val="004A0C06"/>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top"/>
    </w:pPr>
    <w:rPr>
      <w:rFonts w:ascii="Arial" w:eastAsia="Arial Unicode MS" w:hAnsi="Arial" w:cs="Arial"/>
      <w:b/>
      <w:bCs/>
      <w:szCs w:val="24"/>
    </w:rPr>
  </w:style>
  <w:style w:type="paragraph" w:customStyle="1" w:styleId="xl26">
    <w:name w:val="xl26"/>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27">
    <w:name w:val="xl27"/>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28">
    <w:name w:val="xl28"/>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29">
    <w:name w:val="xl29"/>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30">
    <w:name w:val="xl30"/>
    <w:basedOn w:val="Normal"/>
    <w:rsid w:val="004A0C06"/>
    <w:pPr>
      <w:pBdr>
        <w:top w:val="single" w:sz="8" w:space="0" w:color="auto"/>
        <w:left w:val="single" w:sz="8" w:space="12" w:color="auto"/>
        <w:bottom w:val="single" w:sz="8" w:space="0" w:color="auto"/>
        <w:right w:val="single" w:sz="8" w:space="0" w:color="auto"/>
      </w:pBdr>
      <w:spacing w:before="100" w:beforeAutospacing="1" w:after="100" w:afterAutospacing="1"/>
      <w:ind w:firstLineChars="100" w:firstLine="100"/>
    </w:pPr>
    <w:rPr>
      <w:rFonts w:ascii="Arial" w:eastAsia="Arial Unicode MS" w:hAnsi="Arial" w:cs="Arial"/>
      <w:szCs w:val="24"/>
    </w:rPr>
  </w:style>
  <w:style w:type="paragraph" w:customStyle="1" w:styleId="xl31">
    <w:name w:val="xl31"/>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32">
    <w:name w:val="xl32"/>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p">
    <w:name w:val="p"/>
    <w:basedOn w:val="Normal"/>
    <w:rsid w:val="004A0C06"/>
    <w:pPr>
      <w:spacing w:before="100" w:beforeAutospacing="1" w:after="100" w:afterAutospacing="1"/>
    </w:pPr>
    <w:rPr>
      <w:rFonts w:ascii="Arial Unicode MS" w:eastAsia="Arial Unicode MS" w:hAnsi="Arial Unicode MS" w:cs="Arial Unicode MS"/>
      <w:szCs w:val="24"/>
    </w:rPr>
  </w:style>
  <w:style w:type="paragraph" w:customStyle="1" w:styleId="Subappend">
    <w:name w:val="Sub_append"/>
    <w:basedOn w:val="Normal"/>
    <w:rsid w:val="004A0C06"/>
    <w:pPr>
      <w:keepNext/>
      <w:widowControl w:val="0"/>
      <w:tabs>
        <w:tab w:val="left" w:pos="720"/>
      </w:tabs>
      <w:spacing w:before="120" w:after="60"/>
    </w:pPr>
    <w:rPr>
      <w:rFonts w:ascii="Arial" w:hAnsi="Arial"/>
      <w:b/>
      <w:caps/>
    </w:rPr>
  </w:style>
  <w:style w:type="character" w:customStyle="1" w:styleId="basictext1">
    <w:name w:val="basic_text1"/>
    <w:basedOn w:val="DefaultParagraphFont"/>
    <w:rsid w:val="004A0C06"/>
    <w:rPr>
      <w:rFonts w:ascii="Arial" w:hAnsi="Arial" w:cs="Arial"/>
      <w:color w:val="333333"/>
      <w:sz w:val="20"/>
      <w:szCs w:val="20"/>
    </w:rPr>
  </w:style>
  <w:style w:type="paragraph" w:customStyle="1" w:styleId="BulletListMultipleLast">
    <w:name w:val="Bullet List Multiple Last"/>
    <w:next w:val="Normal"/>
    <w:rsid w:val="004A0C06"/>
    <w:pPr>
      <w:tabs>
        <w:tab w:val="num" w:pos="630"/>
      </w:tabs>
      <w:spacing w:before="80" w:after="280"/>
      <w:ind w:left="630" w:hanging="360"/>
    </w:pPr>
    <w:rPr>
      <w:sz w:val="24"/>
    </w:rPr>
  </w:style>
  <w:style w:type="paragraph" w:customStyle="1" w:styleId="BulletListSingle">
    <w:name w:val="Bullet List Single"/>
    <w:basedOn w:val="Normal"/>
    <w:rsid w:val="004A0C06"/>
    <w:pPr>
      <w:tabs>
        <w:tab w:val="num" w:pos="720"/>
      </w:tabs>
      <w:spacing w:before="120"/>
      <w:ind w:left="720" w:hanging="360"/>
    </w:pPr>
  </w:style>
  <w:style w:type="paragraph" w:customStyle="1" w:styleId="Quotation">
    <w:name w:val="Quotation"/>
    <w:next w:val="Normal"/>
    <w:rsid w:val="004A0C06"/>
    <w:pPr>
      <w:spacing w:before="120" w:after="120"/>
      <w:ind w:left="720" w:right="720"/>
    </w:pPr>
    <w:rPr>
      <w:sz w:val="24"/>
    </w:rPr>
  </w:style>
  <w:style w:type="paragraph" w:customStyle="1" w:styleId="BulletList-SecondLevel">
    <w:name w:val="Bullet List - Second Level"/>
    <w:basedOn w:val="Normal"/>
    <w:rsid w:val="004A0C06"/>
    <w:pPr>
      <w:tabs>
        <w:tab w:val="num" w:pos="720"/>
      </w:tabs>
      <w:spacing w:before="60" w:after="60"/>
      <w:ind w:left="720" w:hanging="360"/>
    </w:pPr>
  </w:style>
  <w:style w:type="paragraph" w:customStyle="1" w:styleId="TableBullet">
    <w:name w:val="TableBullet"/>
    <w:rsid w:val="004A0C06"/>
    <w:pPr>
      <w:tabs>
        <w:tab w:val="left" w:pos="216"/>
        <w:tab w:val="num" w:pos="360"/>
      </w:tabs>
      <w:spacing w:before="20" w:after="20"/>
      <w:ind w:left="288" w:hanging="288"/>
    </w:pPr>
    <w:rPr>
      <w:rFonts w:ascii="Arial" w:hAnsi="Arial"/>
      <w:sz w:val="18"/>
    </w:rPr>
  </w:style>
  <w:style w:type="paragraph" w:customStyle="1" w:styleId="TableCaption">
    <w:name w:val="TableCaption"/>
    <w:aliases w:val="tc"/>
    <w:next w:val="Normal"/>
    <w:rsid w:val="004A0C06"/>
    <w:pPr>
      <w:keepNext/>
      <w:keepLines/>
      <w:spacing w:before="400" w:after="100"/>
      <w:jc w:val="center"/>
      <w:outlineLvl w:val="0"/>
    </w:pPr>
    <w:rPr>
      <w:rFonts w:ascii="Arial Narrow" w:hAnsi="Arial Narrow"/>
      <w:b/>
    </w:rPr>
  </w:style>
  <w:style w:type="paragraph" w:customStyle="1" w:styleId="TableColumnHeading">
    <w:name w:val="TableColumnHeading"/>
    <w:aliases w:val="tch"/>
    <w:next w:val="Normal"/>
    <w:rsid w:val="004A0C06"/>
    <w:pPr>
      <w:spacing w:before="60" w:after="60"/>
      <w:jc w:val="center"/>
    </w:pPr>
    <w:rPr>
      <w:rFonts w:ascii="Arial" w:hAnsi="Arial"/>
      <w:b/>
    </w:rPr>
  </w:style>
  <w:style w:type="paragraph" w:customStyle="1" w:styleId="AcronymTerm">
    <w:name w:val="Acronym Term"/>
    <w:rsid w:val="004A0C06"/>
    <w:pPr>
      <w:spacing w:before="60" w:after="60"/>
    </w:pPr>
    <w:rPr>
      <w:b/>
      <w:sz w:val="24"/>
    </w:rPr>
  </w:style>
  <w:style w:type="paragraph" w:customStyle="1" w:styleId="Tablehead1">
    <w:name w:val="Table head1"/>
    <w:basedOn w:val="Normal"/>
    <w:rsid w:val="004A0C06"/>
    <w:pPr>
      <w:widowControl w:val="0"/>
      <w:spacing w:before="120" w:after="0"/>
    </w:pPr>
    <w:rPr>
      <w:rFonts w:ascii="Arial" w:hAnsi="Arial" w:cs="Arial"/>
      <w:sz w:val="20"/>
    </w:rPr>
  </w:style>
  <w:style w:type="paragraph" w:customStyle="1" w:styleId="TableHeaderText">
    <w:name w:val="Table Header Text"/>
    <w:basedOn w:val="Normal"/>
    <w:link w:val="TableHeaderTextChar"/>
    <w:rsid w:val="004A0C06"/>
    <w:pPr>
      <w:spacing w:before="100" w:after="0"/>
      <w:jc w:val="center"/>
    </w:pPr>
    <w:rPr>
      <w:b/>
    </w:rPr>
  </w:style>
  <w:style w:type="paragraph" w:customStyle="1" w:styleId="Instruction">
    <w:name w:val="Instruction"/>
    <w:basedOn w:val="Normal"/>
    <w:next w:val="BodyText"/>
    <w:rsid w:val="004A0C06"/>
    <w:pPr>
      <w:spacing w:after="0"/>
    </w:pPr>
    <w:rPr>
      <w:rFonts w:ascii="Arial" w:hAnsi="Arial" w:cs="Arial"/>
      <w:i/>
      <w:vanish/>
      <w:color w:val="0000FF"/>
      <w:sz w:val="20"/>
    </w:rPr>
  </w:style>
  <w:style w:type="paragraph" w:styleId="HTMLPreformatted">
    <w:name w:val="HTML Preformatted"/>
    <w:basedOn w:val="Normal"/>
    <w:link w:val="HTMLPreformattedChar"/>
    <w:rsid w:val="004A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locked/>
    <w:rsid w:val="004A0C06"/>
    <w:rPr>
      <w:rFonts w:ascii="Courier New" w:hAnsi="Courier New" w:cs="Courier New"/>
    </w:rPr>
  </w:style>
  <w:style w:type="paragraph" w:customStyle="1" w:styleId="DHSText">
    <w:name w:val="DHS_Text"/>
    <w:rsid w:val="004A0C06"/>
    <w:pPr>
      <w:spacing w:after="240"/>
    </w:pPr>
    <w:rPr>
      <w:rFonts w:ascii="Arial" w:hAnsi="Arial" w:cs="Arial"/>
    </w:rPr>
  </w:style>
  <w:style w:type="paragraph" w:customStyle="1" w:styleId="BODY--PRIME">
    <w:name w:val="BODY--PRIME"/>
    <w:link w:val="BODY--PRIMEChar"/>
    <w:rsid w:val="00E303E8"/>
    <w:pPr>
      <w:spacing w:before="72" w:after="72"/>
    </w:pPr>
    <w:rPr>
      <w:sz w:val="24"/>
    </w:rPr>
  </w:style>
  <w:style w:type="character" w:customStyle="1" w:styleId="BODY--PRIMEChar">
    <w:name w:val="BODY--PRIME Char"/>
    <w:basedOn w:val="DefaultParagraphFont"/>
    <w:link w:val="BODY--PRIME"/>
    <w:locked/>
    <w:rsid w:val="00E303E8"/>
    <w:rPr>
      <w:sz w:val="24"/>
      <w:lang w:val="en-US" w:eastAsia="en-US" w:bidi="ar-SA"/>
    </w:rPr>
  </w:style>
  <w:style w:type="character" w:customStyle="1" w:styleId="xl25Char">
    <w:name w:val="xl25 Char"/>
    <w:basedOn w:val="DefaultParagraphFont"/>
    <w:link w:val="xl25"/>
    <w:locked/>
    <w:rsid w:val="009E54EB"/>
    <w:rPr>
      <w:rFonts w:ascii="Arial" w:eastAsia="Arial Unicode MS" w:hAnsi="Arial" w:cs="Arial"/>
      <w:b/>
      <w:bCs/>
      <w:sz w:val="24"/>
      <w:szCs w:val="24"/>
      <w:shd w:val="clear" w:color="auto" w:fill="339966"/>
    </w:rPr>
  </w:style>
  <w:style w:type="character" w:styleId="SubtleEmphasis">
    <w:name w:val="Subtle Emphasis"/>
    <w:basedOn w:val="DefaultParagraphFont"/>
    <w:qFormat/>
    <w:rsid w:val="00836B95"/>
    <w:rPr>
      <w:rFonts w:cs="Times New Roman"/>
      <w:i/>
      <w:iCs/>
      <w:color w:val="808080"/>
    </w:rPr>
  </w:style>
  <w:style w:type="character" w:customStyle="1" w:styleId="TableHeaderTextChar">
    <w:name w:val="Table Header Text Char"/>
    <w:basedOn w:val="DefaultParagraphFont"/>
    <w:link w:val="TableHeaderText"/>
    <w:locked/>
    <w:rsid w:val="005E0766"/>
    <w:rPr>
      <w:rFonts w:cs="Times New Roman"/>
      <w:b/>
      <w:sz w:val="24"/>
    </w:rPr>
  </w:style>
  <w:style w:type="paragraph" w:styleId="ListParagraph">
    <w:name w:val="List Paragraph"/>
    <w:basedOn w:val="Normal"/>
    <w:link w:val="ListParagraphChar"/>
    <w:uiPriority w:val="34"/>
    <w:qFormat/>
    <w:rsid w:val="00196DC3"/>
    <w:pPr>
      <w:ind w:left="720"/>
    </w:pPr>
  </w:style>
  <w:style w:type="paragraph" w:customStyle="1" w:styleId="TableRow">
    <w:name w:val="Table Row"/>
    <w:basedOn w:val="BodyText"/>
    <w:rsid w:val="00203B80"/>
    <w:pPr>
      <w:keepLines w:val="0"/>
      <w:autoSpaceDE w:val="0"/>
      <w:autoSpaceDN w:val="0"/>
      <w:adjustRightInd w:val="0"/>
      <w:spacing w:before="60" w:after="60"/>
    </w:pPr>
    <w:rPr>
      <w:rFonts w:ascii="Arial" w:hAnsi="Arial" w:cs="Arial"/>
      <w:i w:val="0"/>
      <w:sz w:val="20"/>
    </w:rPr>
  </w:style>
  <w:style w:type="paragraph" w:customStyle="1" w:styleId="TableHeading">
    <w:name w:val="Table Heading"/>
    <w:rsid w:val="00203B80"/>
    <w:pPr>
      <w:keepNext/>
      <w:keepLines/>
      <w:spacing w:before="120"/>
      <w:jc w:val="center"/>
    </w:pPr>
    <w:rPr>
      <w:rFonts w:ascii="Arial" w:hAnsi="Arial"/>
      <w:b/>
      <w:sz w:val="32"/>
    </w:rPr>
  </w:style>
  <w:style w:type="paragraph" w:customStyle="1" w:styleId="TableHeading3">
    <w:name w:val="Table Heading3"/>
    <w:basedOn w:val="TableHeading"/>
    <w:rsid w:val="00203B80"/>
    <w:rPr>
      <w:rFonts w:ascii="Arial Bold" w:hAnsi="Arial Bold"/>
      <w:b w:val="0"/>
      <w:sz w:val="20"/>
    </w:rPr>
  </w:style>
  <w:style w:type="paragraph" w:customStyle="1" w:styleId="TableHeadingb">
    <w:name w:val="Table Headingb"/>
    <w:basedOn w:val="TableHeading"/>
    <w:rsid w:val="00203B80"/>
    <w:rPr>
      <w:rFonts w:ascii="Arial Bold" w:hAnsi="Arial Bold"/>
      <w:sz w:val="28"/>
    </w:rPr>
  </w:style>
  <w:style w:type="paragraph" w:customStyle="1" w:styleId="TableHeadingC">
    <w:name w:val="Table HeadingC"/>
    <w:basedOn w:val="TableHeadingb"/>
    <w:rsid w:val="00203B80"/>
    <w:rPr>
      <w:b w:val="0"/>
      <w:sz w:val="32"/>
      <w:szCs w:val="28"/>
    </w:rPr>
  </w:style>
  <w:style w:type="paragraph" w:customStyle="1" w:styleId="ListNumber6">
    <w:name w:val="List Number6"/>
    <w:basedOn w:val="Normal"/>
    <w:rsid w:val="00203B80"/>
    <w:pPr>
      <w:numPr>
        <w:numId w:val="13"/>
      </w:numPr>
      <w:spacing w:before="60" w:after="60"/>
    </w:pPr>
    <w:rPr>
      <w:rFonts w:ascii="Arial" w:hAnsi="Arial"/>
      <w:sz w:val="20"/>
      <w:szCs w:val="24"/>
    </w:rPr>
  </w:style>
  <w:style w:type="paragraph" w:customStyle="1" w:styleId="ListNumber1">
    <w:name w:val="List Number1"/>
    <w:basedOn w:val="Normal"/>
    <w:rsid w:val="00203B80"/>
    <w:pPr>
      <w:numPr>
        <w:numId w:val="11"/>
      </w:numPr>
      <w:spacing w:before="60" w:after="60"/>
    </w:pPr>
    <w:rPr>
      <w:rFonts w:ascii="Arial" w:hAnsi="Arial"/>
      <w:sz w:val="20"/>
      <w:szCs w:val="24"/>
    </w:rPr>
  </w:style>
  <w:style w:type="paragraph" w:customStyle="1" w:styleId="ListNumber7">
    <w:name w:val="List Number7"/>
    <w:basedOn w:val="ListNumber6"/>
    <w:rsid w:val="00203B80"/>
    <w:pPr>
      <w:numPr>
        <w:numId w:val="14"/>
      </w:numPr>
      <w:tabs>
        <w:tab w:val="num" w:pos="720"/>
      </w:tabs>
      <w:ind w:left="720"/>
    </w:pPr>
  </w:style>
  <w:style w:type="paragraph" w:customStyle="1" w:styleId="ListNumber8">
    <w:name w:val="List Number8"/>
    <w:basedOn w:val="ListNumber7"/>
    <w:rsid w:val="00203B80"/>
    <w:pPr>
      <w:numPr>
        <w:numId w:val="15"/>
      </w:numPr>
      <w:ind w:left="360"/>
    </w:pPr>
  </w:style>
  <w:style w:type="paragraph" w:customStyle="1" w:styleId="ListNumber9">
    <w:name w:val="List Number9"/>
    <w:basedOn w:val="ListNumber8"/>
    <w:rsid w:val="00203B80"/>
    <w:pPr>
      <w:numPr>
        <w:numId w:val="12"/>
      </w:numPr>
    </w:pPr>
  </w:style>
  <w:style w:type="character" w:styleId="Emphasis">
    <w:name w:val="Emphasis"/>
    <w:basedOn w:val="DefaultParagraphFont"/>
    <w:qFormat/>
    <w:rsid w:val="00D64ADB"/>
    <w:rPr>
      <w:rFonts w:cs="Times New Roman"/>
      <w:i/>
      <w:iCs/>
    </w:rPr>
  </w:style>
  <w:style w:type="paragraph" w:styleId="BodyText2">
    <w:name w:val="Body Text 2"/>
    <w:basedOn w:val="Normal"/>
    <w:link w:val="BodyText2Char"/>
    <w:rsid w:val="00031F28"/>
    <w:pPr>
      <w:spacing w:line="480" w:lineRule="auto"/>
    </w:pPr>
  </w:style>
  <w:style w:type="character" w:customStyle="1" w:styleId="BodyText2Char">
    <w:name w:val="Body Text 2 Char"/>
    <w:basedOn w:val="DefaultParagraphFont"/>
    <w:link w:val="BodyText2"/>
    <w:rsid w:val="00031F28"/>
    <w:rPr>
      <w:sz w:val="24"/>
    </w:rPr>
  </w:style>
  <w:style w:type="paragraph" w:customStyle="1" w:styleId="bodytextx22">
    <w:name w:val="body text x22"/>
    <w:basedOn w:val="Normal"/>
    <w:rsid w:val="007C60F3"/>
    <w:pPr>
      <w:pBdr>
        <w:top w:val="single" w:sz="4" w:space="1" w:color="auto"/>
      </w:pBdr>
      <w:jc w:val="both"/>
    </w:pPr>
  </w:style>
  <w:style w:type="paragraph" w:styleId="EndnoteText">
    <w:name w:val="endnote text"/>
    <w:basedOn w:val="Normal"/>
    <w:link w:val="EndnoteTextChar"/>
    <w:uiPriority w:val="99"/>
    <w:unhideWhenUsed/>
    <w:rsid w:val="007C60F3"/>
    <w:pPr>
      <w:spacing w:after="0"/>
    </w:pPr>
    <w:rPr>
      <w:rFonts w:eastAsia="Calibri"/>
      <w:sz w:val="20"/>
    </w:rPr>
  </w:style>
  <w:style w:type="character" w:customStyle="1" w:styleId="EndnoteTextChar">
    <w:name w:val="Endnote Text Char"/>
    <w:basedOn w:val="DefaultParagraphFont"/>
    <w:link w:val="EndnoteText"/>
    <w:uiPriority w:val="99"/>
    <w:rsid w:val="007C60F3"/>
    <w:rPr>
      <w:rFonts w:eastAsia="Calibri"/>
    </w:rPr>
  </w:style>
  <w:style w:type="character" w:styleId="EndnoteReference">
    <w:name w:val="endnote reference"/>
    <w:basedOn w:val="DefaultParagraphFont"/>
    <w:uiPriority w:val="99"/>
    <w:unhideWhenUsed/>
    <w:rsid w:val="007C60F3"/>
    <w:rPr>
      <w:vertAlign w:val="superscript"/>
    </w:rPr>
  </w:style>
  <w:style w:type="paragraph" w:styleId="ListContinue2">
    <w:name w:val="List Continue 2"/>
    <w:basedOn w:val="Normal"/>
    <w:rsid w:val="00AE5A37"/>
    <w:pPr>
      <w:ind w:left="720"/>
      <w:contextualSpacing/>
    </w:pPr>
  </w:style>
  <w:style w:type="paragraph" w:customStyle="1" w:styleId="Char2">
    <w:name w:val="Char2"/>
    <w:basedOn w:val="Normal"/>
    <w:rsid w:val="00AE5A37"/>
    <w:pPr>
      <w:spacing w:after="160" w:line="240" w:lineRule="exact"/>
    </w:pPr>
    <w:rPr>
      <w:szCs w:val="24"/>
    </w:rPr>
  </w:style>
  <w:style w:type="paragraph" w:customStyle="1" w:styleId="DHS-DeliverableType">
    <w:name w:val="DHS - Deliverable Type"/>
    <w:basedOn w:val="Normal"/>
    <w:qFormat/>
    <w:rsid w:val="00961FAE"/>
    <w:pPr>
      <w:spacing w:after="0"/>
      <w:jc w:val="center"/>
    </w:pPr>
    <w:rPr>
      <w:rFonts w:ascii="Garamond" w:hAnsi="Garamond"/>
      <w:color w:val="632423"/>
      <w:sz w:val="44"/>
      <w:szCs w:val="44"/>
    </w:rPr>
  </w:style>
  <w:style w:type="paragraph" w:customStyle="1" w:styleId="DHS-Emphasis">
    <w:name w:val="DHS - Emphasis"/>
    <w:basedOn w:val="Normal"/>
    <w:qFormat/>
    <w:rsid w:val="00961FAE"/>
    <w:pPr>
      <w:spacing w:after="0"/>
      <w:jc w:val="center"/>
    </w:pPr>
    <w:rPr>
      <w:rFonts w:ascii="Garamond" w:hAnsi="Garamond"/>
      <w:b/>
      <w:bCs/>
      <w:color w:val="244061"/>
    </w:rPr>
  </w:style>
  <w:style w:type="paragraph" w:customStyle="1" w:styleId="DHS-ProjectName">
    <w:name w:val="DHS - Project Name"/>
    <w:basedOn w:val="Normal"/>
    <w:qFormat/>
    <w:rsid w:val="00961FAE"/>
    <w:pPr>
      <w:spacing w:after="0"/>
      <w:jc w:val="center"/>
    </w:pPr>
    <w:rPr>
      <w:rFonts w:ascii="Garamond" w:hAnsi="Garamond"/>
      <w:color w:val="0F243E"/>
      <w:sz w:val="80"/>
      <w:szCs w:val="80"/>
    </w:rPr>
  </w:style>
  <w:style w:type="character" w:styleId="PlaceholderText">
    <w:name w:val="Placeholder Text"/>
    <w:basedOn w:val="DefaultParagraphFont"/>
    <w:uiPriority w:val="99"/>
    <w:semiHidden/>
    <w:rsid w:val="00961FAE"/>
    <w:rPr>
      <w:color w:val="808080"/>
    </w:rPr>
  </w:style>
  <w:style w:type="paragraph" w:customStyle="1" w:styleId="DHS-Normal">
    <w:name w:val="DHS - Normal"/>
    <w:basedOn w:val="Normal"/>
    <w:qFormat/>
    <w:rsid w:val="00807C2C"/>
    <w:pPr>
      <w:spacing w:before="120"/>
    </w:pPr>
    <w:rPr>
      <w:rFonts w:ascii="Arial" w:hAnsi="Arial" w:cs="Arial"/>
      <w:color w:val="000000"/>
      <w:sz w:val="20"/>
    </w:rPr>
  </w:style>
  <w:style w:type="paragraph" w:customStyle="1" w:styleId="DHS-TableRow">
    <w:name w:val="DHS - Table Row"/>
    <w:basedOn w:val="Normal"/>
    <w:qFormat/>
    <w:rsid w:val="00807C2C"/>
    <w:pPr>
      <w:spacing w:after="0"/>
    </w:pPr>
    <w:rPr>
      <w:rFonts w:ascii="Garamond" w:hAnsi="Garamond"/>
      <w:b/>
      <w:color w:val="FFFFFF"/>
    </w:rPr>
  </w:style>
  <w:style w:type="character" w:customStyle="1" w:styleId="FootnoteTextChar">
    <w:name w:val="Footnote Text Char"/>
    <w:basedOn w:val="DefaultParagraphFont"/>
    <w:link w:val="FootnoteText"/>
    <w:uiPriority w:val="99"/>
    <w:semiHidden/>
    <w:rsid w:val="006E70FE"/>
  </w:style>
  <w:style w:type="character" w:customStyle="1" w:styleId="body5">
    <w:name w:val="body5"/>
    <w:basedOn w:val="DefaultParagraphFont"/>
    <w:rsid w:val="006E70FE"/>
    <w:rPr>
      <w:rFonts w:ascii="Verdana" w:hAnsi="Verdana" w:hint="default"/>
      <w:color w:val="000000"/>
      <w:sz w:val="17"/>
      <w:szCs w:val="17"/>
    </w:rPr>
  </w:style>
  <w:style w:type="character" w:customStyle="1" w:styleId="ListParagraphChar">
    <w:name w:val="List Paragraph Char"/>
    <w:basedOn w:val="DefaultParagraphFont"/>
    <w:link w:val="ListParagraph"/>
    <w:uiPriority w:val="34"/>
    <w:locked/>
    <w:rsid w:val="00BC6FCE"/>
    <w:rPr>
      <w:sz w:val="24"/>
    </w:rPr>
  </w:style>
  <w:style w:type="character" w:customStyle="1" w:styleId="text261">
    <w:name w:val="text_261"/>
    <w:basedOn w:val="DefaultParagraphFont"/>
    <w:rsid w:val="0095548C"/>
    <w:rPr>
      <w:rFonts w:ascii="Arial" w:hAnsi="Arial" w:cs="Arial" w:hint="default"/>
      <w:color w:val="666666"/>
      <w:sz w:val="24"/>
      <w:szCs w:val="24"/>
    </w:rPr>
  </w:style>
  <w:style w:type="character" w:customStyle="1" w:styleId="A0">
    <w:name w:val="A0"/>
    <w:uiPriority w:val="99"/>
    <w:rsid w:val="0095548C"/>
    <w:rPr>
      <w:rFonts w:cs="Akzidenz Grotesk BE Light"/>
      <w:color w:val="000000"/>
      <w:sz w:val="18"/>
      <w:szCs w:val="18"/>
    </w:rPr>
  </w:style>
  <w:style w:type="character" w:customStyle="1" w:styleId="CommentTextChar">
    <w:name w:val="Comment Text Char"/>
    <w:basedOn w:val="DefaultParagraphFont"/>
    <w:link w:val="CommentText"/>
    <w:uiPriority w:val="99"/>
    <w:semiHidden/>
    <w:rsid w:val="00581FCC"/>
    <w:rPr>
      <w:sz w:val="24"/>
    </w:rPr>
  </w:style>
  <w:style w:type="paragraph" w:customStyle="1" w:styleId="CM10">
    <w:name w:val="CM10"/>
    <w:basedOn w:val="Default"/>
    <w:next w:val="Default"/>
    <w:uiPriority w:val="99"/>
    <w:rsid w:val="00F4748A"/>
    <w:rPr>
      <w:rFonts w:ascii="Times New Roman" w:hAnsi="Times New Roman" w:cs="Times New Roman"/>
      <w:color w:val="auto"/>
    </w:rPr>
  </w:style>
  <w:style w:type="paragraph" w:customStyle="1" w:styleId="CM4">
    <w:name w:val="CM4"/>
    <w:basedOn w:val="Default"/>
    <w:next w:val="Default"/>
    <w:uiPriority w:val="99"/>
    <w:rsid w:val="00F4748A"/>
    <w:pPr>
      <w:spacing w:line="276" w:lineRule="atLeast"/>
    </w:pPr>
    <w:rPr>
      <w:rFonts w:ascii="Times New Roman" w:hAnsi="Times New Roman" w:cs="Times New Roman"/>
      <w:color w:val="auto"/>
    </w:rPr>
  </w:style>
  <w:style w:type="paragraph" w:customStyle="1" w:styleId="CM5">
    <w:name w:val="CM5"/>
    <w:basedOn w:val="Default"/>
    <w:next w:val="Default"/>
    <w:uiPriority w:val="99"/>
    <w:rsid w:val="00F4748A"/>
    <w:pPr>
      <w:spacing w:line="278" w:lineRule="atLeast"/>
    </w:pPr>
    <w:rPr>
      <w:rFonts w:ascii="Times New Roman" w:hAnsi="Times New Roman" w:cs="Times New Roman"/>
      <w:color w:val="auto"/>
    </w:rPr>
  </w:style>
  <w:style w:type="paragraph" w:customStyle="1" w:styleId="CM9">
    <w:name w:val="CM9"/>
    <w:basedOn w:val="Default"/>
    <w:next w:val="Default"/>
    <w:uiPriority w:val="99"/>
    <w:rsid w:val="00F4748A"/>
    <w:rPr>
      <w:rFonts w:ascii="Times New Roman" w:hAnsi="Times New Roman" w:cs="Times New Roman"/>
      <w:color w:val="auto"/>
    </w:rPr>
  </w:style>
  <w:style w:type="paragraph" w:styleId="Revision">
    <w:name w:val="Revision"/>
    <w:hidden/>
    <w:uiPriority w:val="99"/>
    <w:semiHidden/>
    <w:rsid w:val="001966AA"/>
    <w:rPr>
      <w:sz w:val="24"/>
    </w:rPr>
  </w:style>
  <w:style w:type="paragraph" w:customStyle="1" w:styleId="Text">
    <w:name w:val="Text"/>
    <w:aliases w:val="t,text"/>
    <w:link w:val="TextChar"/>
    <w:rsid w:val="00857BD0"/>
    <w:pPr>
      <w:spacing w:before="60" w:after="60"/>
    </w:pPr>
    <w:rPr>
      <w:rFonts w:ascii="Arial" w:hAnsi="Arial"/>
      <w:color w:val="000000"/>
    </w:rPr>
  </w:style>
  <w:style w:type="paragraph" w:customStyle="1" w:styleId="NumberedList2">
    <w:name w:val="Numbered List 2"/>
    <w:aliases w:val="nl2"/>
    <w:rsid w:val="00857BD0"/>
    <w:pPr>
      <w:numPr>
        <w:numId w:val="17"/>
      </w:numPr>
      <w:spacing w:before="60" w:after="60" w:line="220" w:lineRule="exact"/>
    </w:pPr>
    <w:rPr>
      <w:rFonts w:ascii="Arial" w:hAnsi="Arial"/>
      <w:color w:val="000000"/>
    </w:rPr>
  </w:style>
  <w:style w:type="paragraph" w:customStyle="1" w:styleId="BulletedList1">
    <w:name w:val="Bulleted List 1"/>
    <w:aliases w:val="bl1"/>
    <w:link w:val="BulletedList1Char"/>
    <w:rsid w:val="00857BD0"/>
    <w:pPr>
      <w:numPr>
        <w:numId w:val="16"/>
      </w:numPr>
      <w:spacing w:before="60" w:after="60" w:line="220" w:lineRule="exact"/>
    </w:pPr>
    <w:rPr>
      <w:rFonts w:ascii="Arial" w:hAnsi="Arial"/>
      <w:color w:val="000000"/>
    </w:rPr>
  </w:style>
  <w:style w:type="character" w:customStyle="1" w:styleId="TextChar">
    <w:name w:val="Text Char"/>
    <w:aliases w:val="t Char"/>
    <w:basedOn w:val="DefaultParagraphFont"/>
    <w:link w:val="Text"/>
    <w:rsid w:val="00857BD0"/>
    <w:rPr>
      <w:rFonts w:ascii="Arial" w:hAnsi="Arial"/>
      <w:color w:val="000000"/>
    </w:rPr>
  </w:style>
  <w:style w:type="character" w:customStyle="1" w:styleId="BulletedList1Char">
    <w:name w:val="Bulleted List 1 Char"/>
    <w:aliases w:val="bl1 Char"/>
    <w:basedOn w:val="DefaultParagraphFont"/>
    <w:link w:val="BulletedList1"/>
    <w:locked/>
    <w:rsid w:val="00857BD0"/>
    <w:rPr>
      <w:rFonts w:ascii="Arial" w:hAnsi="Arial"/>
      <w:color w:val="000000"/>
    </w:rPr>
  </w:style>
  <w:style w:type="paragraph" w:customStyle="1" w:styleId="BulletedList2">
    <w:name w:val="Bulleted List 2"/>
    <w:aliases w:val="bl2"/>
    <w:rsid w:val="00FD386A"/>
    <w:pPr>
      <w:numPr>
        <w:numId w:val="18"/>
      </w:numPr>
      <w:spacing w:before="60" w:after="60" w:line="220" w:lineRule="exact"/>
    </w:pPr>
    <w:rPr>
      <w:rFonts w:ascii="Arial" w:hAnsi="Arial"/>
      <w:color w:val="000000"/>
    </w:rPr>
  </w:style>
  <w:style w:type="character" w:customStyle="1" w:styleId="Bold">
    <w:name w:val="Bold"/>
    <w:aliases w:val="b"/>
    <w:basedOn w:val="DefaultParagraphFont"/>
    <w:rsid w:val="00FD386A"/>
    <w:rPr>
      <w:b/>
    </w:rPr>
  </w:style>
  <w:style w:type="paragraph" w:styleId="TOCHeading">
    <w:name w:val="TOC Heading"/>
    <w:basedOn w:val="Heading1"/>
    <w:next w:val="Normal"/>
    <w:uiPriority w:val="39"/>
    <w:unhideWhenUsed/>
    <w:qFormat/>
    <w:rsid w:val="005A1AFD"/>
    <w:pPr>
      <w:numPr>
        <w:numId w:val="0"/>
      </w:numPr>
      <w:tabs>
        <w:tab w:val="clear" w:pos="720"/>
        <w:tab w:val="clear" w:pos="1440"/>
        <w:tab w:val="clear" w:pos="2160"/>
        <w:tab w:val="clear" w:pos="8640"/>
      </w:tab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TableParagraph">
    <w:name w:val="Table Paragraph"/>
    <w:basedOn w:val="Normal"/>
    <w:uiPriority w:val="1"/>
    <w:qFormat/>
    <w:rsid w:val="00487D74"/>
    <w:pPr>
      <w:widowControl w:val="0"/>
      <w:spacing w:after="0"/>
    </w:pPr>
    <w:rPr>
      <w:rFonts w:asciiTheme="minorHAnsi" w:eastAsiaTheme="minorHAnsi" w:hAnsiTheme="minorHAnsi" w:cstheme="minorBidi"/>
      <w:sz w:val="22"/>
      <w:szCs w:val="22"/>
    </w:rPr>
  </w:style>
  <w:style w:type="paragraph" w:customStyle="1" w:styleId="H4">
    <w:name w:val="H4"/>
    <w:basedOn w:val="Normal"/>
    <w:next w:val="Normal"/>
    <w:rsid w:val="00F71ACB"/>
    <w:pPr>
      <w:widowControl w:val="0"/>
      <w:tabs>
        <w:tab w:val="num" w:pos="720"/>
      </w:tabs>
      <w:autoSpaceDE w:val="0"/>
      <w:autoSpaceDN w:val="0"/>
      <w:adjustRightInd w:val="0"/>
      <w:spacing w:after="0"/>
      <w:ind w:left="2160"/>
      <w:outlineLvl w:val="3"/>
    </w:pPr>
    <w:rPr>
      <w:rFonts w:ascii="Arial" w:hAnsi="Arial"/>
      <w:szCs w:val="24"/>
    </w:rPr>
  </w:style>
  <w:style w:type="paragraph" w:customStyle="1" w:styleId="H5">
    <w:name w:val="H5"/>
    <w:basedOn w:val="Normal"/>
    <w:next w:val="Normal"/>
    <w:rsid w:val="00F71ACB"/>
    <w:pPr>
      <w:widowControl w:val="0"/>
      <w:tabs>
        <w:tab w:val="num" w:pos="720"/>
      </w:tabs>
      <w:autoSpaceDE w:val="0"/>
      <w:autoSpaceDN w:val="0"/>
      <w:adjustRightInd w:val="0"/>
      <w:spacing w:after="0"/>
      <w:ind w:left="2880"/>
      <w:outlineLvl w:val="4"/>
    </w:pPr>
    <w:rPr>
      <w:rFonts w:ascii="Arial" w:hAnsi="Arial"/>
      <w:szCs w:val="24"/>
    </w:rPr>
  </w:style>
  <w:style w:type="character" w:customStyle="1" w:styleId="Heading3Char">
    <w:name w:val="Heading 3 Char"/>
    <w:aliases w:val="h3 Char,L3 Char,3 bullet Char,2 Char,H3 Char,head3hdbk Char"/>
    <w:link w:val="Heading3"/>
    <w:uiPriority w:val="1"/>
    <w:rsid w:val="00F71ACB"/>
    <w:rPr>
      <w:b/>
      <w:sz w:val="24"/>
    </w:rPr>
  </w:style>
  <w:style w:type="paragraph" w:customStyle="1" w:styleId="Pa9">
    <w:name w:val="Pa9"/>
    <w:basedOn w:val="Default"/>
    <w:next w:val="Default"/>
    <w:uiPriority w:val="99"/>
    <w:rsid w:val="00E44275"/>
    <w:pPr>
      <w:spacing w:line="221" w:lineRule="atLeast"/>
    </w:pPr>
    <w:rPr>
      <w:rFonts w:ascii="Myriad Pro" w:hAnsi="Myriad Pro" w:cs="Times New Roman"/>
      <w:color w:val="auto"/>
    </w:rPr>
  </w:style>
  <w:style w:type="paragraph" w:customStyle="1" w:styleId="Pa13">
    <w:name w:val="Pa13"/>
    <w:basedOn w:val="Default"/>
    <w:next w:val="Default"/>
    <w:uiPriority w:val="99"/>
    <w:rsid w:val="00E44275"/>
    <w:pPr>
      <w:spacing w:line="221" w:lineRule="atLeast"/>
    </w:pPr>
    <w:rPr>
      <w:rFonts w:ascii="Myriad Pro" w:hAnsi="Myriad Pro" w:cs="Times New Roman"/>
      <w:color w:val="auto"/>
    </w:rPr>
  </w:style>
  <w:style w:type="character" w:customStyle="1" w:styleId="A10">
    <w:name w:val="A10"/>
    <w:uiPriority w:val="99"/>
    <w:rsid w:val="00E44275"/>
    <w:rPr>
      <w:rFonts w:cs="Myriad Pro"/>
      <w:color w:val="000000"/>
    </w:rPr>
  </w:style>
  <w:style w:type="paragraph" w:customStyle="1" w:styleId="Reference">
    <w:name w:val="Reference"/>
    <w:qFormat/>
    <w:rsid w:val="00236B7C"/>
    <w:pPr>
      <w:numPr>
        <w:numId w:val="21"/>
      </w:numPr>
      <w:tabs>
        <w:tab w:val="left" w:pos="360"/>
      </w:tabs>
      <w:spacing w:before="80" w:after="100"/>
      <w:ind w:left="360"/>
    </w:pPr>
    <w:rPr>
      <w:bCs/>
      <w:kern w:val="32"/>
      <w:sz w:val="24"/>
      <w:szCs w:val="32"/>
    </w:rPr>
  </w:style>
  <w:style w:type="paragraph" w:customStyle="1" w:styleId="Bulletmultiple">
    <w:name w:val="Bullet multiple"/>
    <w:basedOn w:val="Normal"/>
    <w:link w:val="BulletmultipleChar"/>
    <w:qFormat/>
    <w:rsid w:val="00236B7C"/>
    <w:pPr>
      <w:numPr>
        <w:numId w:val="22"/>
      </w:numPr>
      <w:tabs>
        <w:tab w:val="left" w:pos="720"/>
      </w:tabs>
    </w:pPr>
    <w:rPr>
      <w:szCs w:val="24"/>
    </w:rPr>
  </w:style>
  <w:style w:type="character" w:customStyle="1" w:styleId="BulletmultipleChar">
    <w:name w:val="Bullet multiple Char"/>
    <w:basedOn w:val="DefaultParagraphFont"/>
    <w:link w:val="Bulletmultiple"/>
    <w:rsid w:val="00236B7C"/>
    <w:rPr>
      <w:sz w:val="24"/>
      <w:szCs w:val="24"/>
    </w:rPr>
  </w:style>
  <w:style w:type="character" w:customStyle="1" w:styleId="CommentSubjectChar">
    <w:name w:val="Comment Subject Char"/>
    <w:basedOn w:val="CommentTextChar"/>
    <w:link w:val="CommentSubject"/>
    <w:uiPriority w:val="99"/>
    <w:semiHidden/>
    <w:rsid w:val="00FD1984"/>
    <w:rPr>
      <w:b/>
      <w:bCs/>
      <w:sz w:val="24"/>
    </w:rPr>
  </w:style>
  <w:style w:type="paragraph" w:customStyle="1" w:styleId="CM28">
    <w:name w:val="CM28"/>
    <w:basedOn w:val="Default"/>
    <w:next w:val="Default"/>
    <w:uiPriority w:val="99"/>
    <w:rsid w:val="00146F5E"/>
    <w:rPr>
      <w:rFonts w:ascii="Times New Roman" w:hAnsi="Times New Roman" w:cs="Times New Roman"/>
      <w:color w:val="auto"/>
    </w:rPr>
  </w:style>
  <w:style w:type="table" w:styleId="LightShading-Accent1">
    <w:name w:val="Light Shading Accent 1"/>
    <w:basedOn w:val="TableNormal"/>
    <w:uiPriority w:val="60"/>
    <w:rsid w:val="00EE57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CF1244"/>
    <w:rPr>
      <w:rFonts w:ascii="Helvetica" w:hAnsi="Helvetica"/>
      <w:sz w:val="16"/>
    </w:rPr>
  </w:style>
  <w:style w:type="character" w:customStyle="1" w:styleId="FooterChar">
    <w:name w:val="Footer Char"/>
    <w:aliases w:val="f1 Char"/>
    <w:basedOn w:val="DefaultParagraphFont"/>
    <w:link w:val="Footer"/>
    <w:uiPriority w:val="99"/>
    <w:rsid w:val="00661E07"/>
    <w:rPr>
      <w:sz w:val="16"/>
    </w:rPr>
  </w:style>
  <w:style w:type="character" w:customStyle="1" w:styleId="reference-text">
    <w:name w:val="reference-text"/>
    <w:basedOn w:val="DefaultParagraphFont"/>
    <w:rsid w:val="00CA1E0F"/>
  </w:style>
  <w:style w:type="paragraph" w:styleId="Subtitle">
    <w:name w:val="Subtitle"/>
    <w:basedOn w:val="Normal"/>
    <w:next w:val="Normal"/>
    <w:link w:val="SubtitleChar"/>
    <w:uiPriority w:val="11"/>
    <w:qFormat/>
    <w:locked/>
    <w:rsid w:val="00623C2E"/>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623C2E"/>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table of figures" w:locked="1"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Body Text" w:uiPriority="1"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locked="1" w:uiPriority="99"/>
    <w:lsdException w:name="annotation subject" w:uiPriority="99"/>
    <w:lsdException w:name="No List" w:locked="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FD"/>
    <w:pPr>
      <w:spacing w:after="120"/>
    </w:pPr>
    <w:rPr>
      <w:sz w:val="24"/>
    </w:rPr>
  </w:style>
  <w:style w:type="paragraph" w:styleId="Heading1">
    <w:name w:val="heading 1"/>
    <w:aliases w:val="H1,L1,h1,Text Bos,1 ghost,g"/>
    <w:basedOn w:val="Normal"/>
    <w:next w:val="Normal"/>
    <w:link w:val="Heading1Char"/>
    <w:uiPriority w:val="1"/>
    <w:qFormat/>
    <w:rsid w:val="00C359C0"/>
    <w:pPr>
      <w:keepNext/>
      <w:keepLines/>
      <w:numPr>
        <w:numId w:val="2"/>
      </w:numPr>
      <w:tabs>
        <w:tab w:val="left" w:pos="720"/>
        <w:tab w:val="left" w:pos="1440"/>
        <w:tab w:val="left" w:pos="2160"/>
        <w:tab w:val="right" w:pos="8640"/>
      </w:tabs>
      <w:spacing w:before="240" w:after="240"/>
      <w:outlineLvl w:val="0"/>
    </w:pPr>
    <w:rPr>
      <w:b/>
      <w:sz w:val="36"/>
    </w:rPr>
  </w:style>
  <w:style w:type="paragraph" w:styleId="Heading2">
    <w:name w:val="heading 2"/>
    <w:aliases w:val="h2,H2,l2,L2,Text Box,2 headline,h,Header2"/>
    <w:basedOn w:val="Heading1"/>
    <w:next w:val="Normal"/>
    <w:link w:val="Heading2Char"/>
    <w:uiPriority w:val="1"/>
    <w:qFormat/>
    <w:rsid w:val="00102424"/>
    <w:pPr>
      <w:numPr>
        <w:ilvl w:val="1"/>
      </w:numPr>
      <w:spacing w:after="120"/>
      <w:outlineLvl w:val="1"/>
    </w:pPr>
    <w:rPr>
      <w:sz w:val="24"/>
      <w:szCs w:val="24"/>
    </w:rPr>
  </w:style>
  <w:style w:type="paragraph" w:styleId="Heading3">
    <w:name w:val="heading 3"/>
    <w:aliases w:val="h3,L3,3 bullet,2,H3,head3hdbk"/>
    <w:basedOn w:val="Heading1"/>
    <w:next w:val="Normal"/>
    <w:link w:val="Heading3Char"/>
    <w:uiPriority w:val="1"/>
    <w:qFormat/>
    <w:rsid w:val="00001B28"/>
    <w:pPr>
      <w:numPr>
        <w:ilvl w:val="2"/>
      </w:numPr>
      <w:tabs>
        <w:tab w:val="clear" w:pos="900"/>
        <w:tab w:val="num" w:pos="720"/>
      </w:tabs>
      <w:spacing w:before="120" w:after="120"/>
      <w:ind w:left="720"/>
      <w:outlineLvl w:val="2"/>
    </w:pPr>
    <w:rPr>
      <w:sz w:val="24"/>
    </w:rPr>
  </w:style>
  <w:style w:type="paragraph" w:styleId="Heading4">
    <w:name w:val="heading 4"/>
    <w:aliases w:val="h4,l4,L4,4 dash,d,3,headhbk"/>
    <w:basedOn w:val="Normal"/>
    <w:next w:val="Normal"/>
    <w:uiPriority w:val="1"/>
    <w:qFormat/>
    <w:rsid w:val="00001B28"/>
    <w:pPr>
      <w:keepLines/>
      <w:numPr>
        <w:ilvl w:val="3"/>
        <w:numId w:val="2"/>
      </w:numPr>
      <w:tabs>
        <w:tab w:val="left" w:pos="1008"/>
      </w:tabs>
      <w:outlineLvl w:val="3"/>
    </w:pPr>
    <w:rPr>
      <w:b/>
      <w:szCs w:val="24"/>
    </w:rPr>
  </w:style>
  <w:style w:type="paragraph" w:styleId="Heading5">
    <w:name w:val="heading 5"/>
    <w:aliases w:val="h5,l5,5 sub-bullet,4"/>
    <w:basedOn w:val="Normal"/>
    <w:next w:val="NormalIndent"/>
    <w:qFormat/>
    <w:rsid w:val="00CD3BA6"/>
    <w:pPr>
      <w:keepLines/>
      <w:numPr>
        <w:ilvl w:val="4"/>
        <w:numId w:val="2"/>
      </w:numPr>
      <w:outlineLvl w:val="4"/>
    </w:pPr>
    <w:rPr>
      <w:rFonts w:ascii="Times" w:hAnsi="Times"/>
      <w:b/>
    </w:rPr>
  </w:style>
  <w:style w:type="paragraph" w:styleId="Heading6">
    <w:name w:val="heading 6"/>
    <w:aliases w:val="h6,l6,sub-dash,sd,5,ATTACHMENT"/>
    <w:basedOn w:val="Normal"/>
    <w:next w:val="NormalIndent"/>
    <w:qFormat/>
    <w:rsid w:val="00DE42A0"/>
    <w:pPr>
      <w:keepLines/>
      <w:numPr>
        <w:ilvl w:val="5"/>
        <w:numId w:val="2"/>
      </w:numPr>
      <w:spacing w:after="240"/>
      <w:outlineLvl w:val="5"/>
    </w:pPr>
    <w:rPr>
      <w:rFonts w:ascii="Times" w:hAnsi="Times"/>
      <w:u w:val="single"/>
    </w:rPr>
  </w:style>
  <w:style w:type="paragraph" w:styleId="Heading7">
    <w:name w:val="heading 7"/>
    <w:aliases w:val="h7,l7"/>
    <w:basedOn w:val="Normal"/>
    <w:next w:val="NormalIndent"/>
    <w:qFormat/>
    <w:rsid w:val="00DE42A0"/>
    <w:pPr>
      <w:keepLines/>
      <w:numPr>
        <w:ilvl w:val="6"/>
        <w:numId w:val="2"/>
      </w:numPr>
      <w:spacing w:after="240"/>
      <w:outlineLvl w:val="6"/>
    </w:pPr>
    <w:rPr>
      <w:rFonts w:ascii="Times" w:hAnsi="Times"/>
      <w:i/>
    </w:rPr>
  </w:style>
  <w:style w:type="paragraph" w:styleId="Heading8">
    <w:name w:val="heading 8"/>
    <w:aliases w:val="h8"/>
    <w:basedOn w:val="Normal"/>
    <w:next w:val="NormalIndent"/>
    <w:qFormat/>
    <w:rsid w:val="00DE42A0"/>
    <w:pPr>
      <w:keepLines/>
      <w:numPr>
        <w:ilvl w:val="7"/>
        <w:numId w:val="2"/>
      </w:numPr>
      <w:spacing w:after="240"/>
      <w:outlineLvl w:val="7"/>
    </w:pPr>
    <w:rPr>
      <w:rFonts w:ascii="Times" w:hAnsi="Times"/>
      <w:i/>
    </w:rPr>
  </w:style>
  <w:style w:type="paragraph" w:styleId="Heading9">
    <w:name w:val="heading 9"/>
    <w:aliases w:val="h9"/>
    <w:basedOn w:val="Normal"/>
    <w:next w:val="NormalIndent"/>
    <w:qFormat/>
    <w:rsid w:val="00DE42A0"/>
    <w:pPr>
      <w:keepLines/>
      <w:numPr>
        <w:ilvl w:val="8"/>
        <w:numId w:val="2"/>
      </w:numPr>
      <w:spacing w:after="24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Text Bos Char,1 ghost Char,g Char"/>
    <w:basedOn w:val="DefaultParagraphFont"/>
    <w:link w:val="Heading1"/>
    <w:uiPriority w:val="1"/>
    <w:locked/>
    <w:rsid w:val="00C359C0"/>
    <w:rPr>
      <w:b/>
      <w:sz w:val="36"/>
    </w:rPr>
  </w:style>
  <w:style w:type="character" w:customStyle="1" w:styleId="Heading2Char">
    <w:name w:val="Heading 2 Char"/>
    <w:aliases w:val="h2 Char,H2 Char,l2 Char,L2 Char,Text Box Char,2 headline Char,h Char,Header2 Char"/>
    <w:basedOn w:val="Heading1Char"/>
    <w:link w:val="Heading2"/>
    <w:uiPriority w:val="1"/>
    <w:locked/>
    <w:rsid w:val="00102424"/>
    <w:rPr>
      <w:b/>
      <w:sz w:val="24"/>
      <w:szCs w:val="24"/>
    </w:rPr>
  </w:style>
  <w:style w:type="paragraph" w:styleId="NormalIndent">
    <w:name w:val="Normal Indent"/>
    <w:basedOn w:val="Normal"/>
    <w:rsid w:val="00DE42A0"/>
    <w:pPr>
      <w:keepLines/>
      <w:spacing w:after="240"/>
      <w:ind w:left="720"/>
    </w:pPr>
  </w:style>
  <w:style w:type="paragraph" w:styleId="BodyText">
    <w:name w:val="Body Text"/>
    <w:basedOn w:val="Normal"/>
    <w:link w:val="BodyTextChar"/>
    <w:uiPriority w:val="1"/>
    <w:qFormat/>
    <w:rsid w:val="00DE42A0"/>
    <w:pPr>
      <w:keepLines/>
      <w:spacing w:after="240"/>
    </w:pPr>
    <w:rPr>
      <w:i/>
    </w:rPr>
  </w:style>
  <w:style w:type="paragraph" w:customStyle="1" w:styleId="NormalNoSpace">
    <w:name w:val="Normal No Space"/>
    <w:basedOn w:val="Normal"/>
    <w:rsid w:val="00DE42A0"/>
    <w:pPr>
      <w:keepLines/>
    </w:pPr>
  </w:style>
  <w:style w:type="paragraph" w:styleId="TOC1">
    <w:name w:val="toc 1"/>
    <w:aliases w:val="tc1"/>
    <w:basedOn w:val="Normal"/>
    <w:next w:val="Normal"/>
    <w:autoRedefine/>
    <w:uiPriority w:val="39"/>
    <w:qFormat/>
    <w:rsid w:val="00CC35B8"/>
    <w:pPr>
      <w:keepLines/>
      <w:tabs>
        <w:tab w:val="left" w:pos="1440"/>
        <w:tab w:val="right" w:leader="dot" w:pos="9360"/>
      </w:tabs>
      <w:spacing w:before="120"/>
      <w:ind w:right="180"/>
    </w:pPr>
    <w:rPr>
      <w:b/>
      <w:caps/>
    </w:rPr>
  </w:style>
  <w:style w:type="paragraph" w:styleId="TOC2">
    <w:name w:val="toc 2"/>
    <w:aliases w:val="tc2"/>
    <w:basedOn w:val="Normal"/>
    <w:next w:val="Normal"/>
    <w:autoRedefine/>
    <w:uiPriority w:val="39"/>
    <w:qFormat/>
    <w:rsid w:val="00CC35B8"/>
    <w:pPr>
      <w:keepLines/>
      <w:tabs>
        <w:tab w:val="left" w:pos="1440"/>
        <w:tab w:val="right" w:leader="dot" w:pos="9360"/>
      </w:tabs>
      <w:ind w:left="240" w:right="180"/>
    </w:pPr>
    <w:rPr>
      <w:smallCaps/>
    </w:rPr>
  </w:style>
  <w:style w:type="paragraph" w:styleId="TOC3">
    <w:name w:val="toc 3"/>
    <w:basedOn w:val="Normal"/>
    <w:next w:val="Normal"/>
    <w:autoRedefine/>
    <w:uiPriority w:val="39"/>
    <w:qFormat/>
    <w:rsid w:val="00CC35B8"/>
    <w:pPr>
      <w:keepLines/>
      <w:tabs>
        <w:tab w:val="left" w:pos="1440"/>
        <w:tab w:val="right" w:leader="dot" w:pos="9360"/>
      </w:tabs>
      <w:ind w:left="1440" w:right="360" w:hanging="960"/>
    </w:pPr>
    <w:rPr>
      <w:i/>
    </w:rPr>
  </w:style>
  <w:style w:type="paragraph" w:styleId="TOC4">
    <w:name w:val="toc 4"/>
    <w:basedOn w:val="Normal"/>
    <w:next w:val="Normal"/>
    <w:autoRedefine/>
    <w:uiPriority w:val="39"/>
    <w:rsid w:val="00DE42A0"/>
    <w:pPr>
      <w:keepLines/>
      <w:ind w:left="720"/>
    </w:pPr>
    <w:rPr>
      <w:sz w:val="18"/>
    </w:rPr>
  </w:style>
  <w:style w:type="paragraph" w:styleId="BodyTextIndent">
    <w:name w:val="Body Text Indent"/>
    <w:basedOn w:val="Normal"/>
    <w:rsid w:val="00DE42A0"/>
    <w:pPr>
      <w:keepLines/>
      <w:spacing w:after="240"/>
      <w:jc w:val="both"/>
    </w:pPr>
  </w:style>
  <w:style w:type="paragraph" w:customStyle="1" w:styleId="jimsub">
    <w:name w:val="jimsub"/>
    <w:basedOn w:val="Normal"/>
    <w:rsid w:val="00DE42A0"/>
    <w:rPr>
      <w:b/>
      <w:noProof/>
      <w:sz w:val="28"/>
    </w:rPr>
  </w:style>
  <w:style w:type="paragraph" w:styleId="Header">
    <w:name w:val="header"/>
    <w:basedOn w:val="Normal"/>
    <w:link w:val="HeaderChar"/>
    <w:uiPriority w:val="99"/>
    <w:rsid w:val="00DE42A0"/>
    <w:pPr>
      <w:keepLines/>
      <w:tabs>
        <w:tab w:val="center" w:pos="4320"/>
        <w:tab w:val="right" w:pos="8640"/>
      </w:tabs>
      <w:spacing w:after="480"/>
    </w:pPr>
    <w:rPr>
      <w:rFonts w:ascii="Helvetica" w:hAnsi="Helvetica"/>
      <w:sz w:val="16"/>
    </w:rPr>
  </w:style>
  <w:style w:type="paragraph" w:styleId="Footer">
    <w:name w:val="footer"/>
    <w:aliases w:val="f1"/>
    <w:basedOn w:val="Normal"/>
    <w:link w:val="FooterChar"/>
    <w:uiPriority w:val="99"/>
    <w:rsid w:val="00DE42A0"/>
    <w:pPr>
      <w:keepLines/>
      <w:tabs>
        <w:tab w:val="center" w:pos="4320"/>
        <w:tab w:val="right" w:pos="8640"/>
      </w:tabs>
      <w:spacing w:after="240"/>
    </w:pPr>
    <w:rPr>
      <w:sz w:val="16"/>
    </w:rPr>
  </w:style>
  <w:style w:type="character" w:styleId="CommentReference">
    <w:name w:val="annotation reference"/>
    <w:basedOn w:val="DefaultParagraphFont"/>
    <w:uiPriority w:val="99"/>
    <w:semiHidden/>
    <w:rsid w:val="00DE42A0"/>
    <w:rPr>
      <w:rFonts w:cs="Times New Roman"/>
      <w:sz w:val="16"/>
    </w:rPr>
  </w:style>
  <w:style w:type="paragraph" w:styleId="CommentText">
    <w:name w:val="annotation text"/>
    <w:basedOn w:val="Normal"/>
    <w:link w:val="CommentTextChar"/>
    <w:uiPriority w:val="99"/>
    <w:semiHidden/>
    <w:rsid w:val="00DE42A0"/>
  </w:style>
  <w:style w:type="paragraph" w:styleId="DocumentMap">
    <w:name w:val="Document Map"/>
    <w:basedOn w:val="Normal"/>
    <w:semiHidden/>
    <w:rsid w:val="00DE42A0"/>
    <w:pPr>
      <w:shd w:val="clear" w:color="auto" w:fill="000080"/>
    </w:pPr>
    <w:rPr>
      <w:rFonts w:ascii="Tahoma" w:hAnsi="Tahoma"/>
    </w:rPr>
  </w:style>
  <w:style w:type="paragraph" w:customStyle="1" w:styleId="Paragraph1">
    <w:name w:val="Paragraph_1"/>
    <w:basedOn w:val="Normal"/>
    <w:rsid w:val="00DE42A0"/>
    <w:pPr>
      <w:keepLines/>
      <w:spacing w:before="60" w:after="200"/>
      <w:ind w:left="1440"/>
      <w:jc w:val="both"/>
    </w:pPr>
  </w:style>
  <w:style w:type="paragraph" w:styleId="BalloonText">
    <w:name w:val="Balloon Text"/>
    <w:basedOn w:val="Normal"/>
    <w:rsid w:val="00CB3BC8"/>
    <w:rPr>
      <w:rFonts w:ascii="Tahoma" w:hAnsi="Tahoma" w:cs="Tahoma"/>
      <w:sz w:val="16"/>
      <w:szCs w:val="16"/>
    </w:rPr>
  </w:style>
  <w:style w:type="paragraph" w:styleId="FootnoteText">
    <w:name w:val="footnote text"/>
    <w:basedOn w:val="Normal"/>
    <w:link w:val="FootnoteTextChar"/>
    <w:uiPriority w:val="99"/>
    <w:semiHidden/>
    <w:rsid w:val="0088055B"/>
    <w:rPr>
      <w:sz w:val="20"/>
    </w:rPr>
  </w:style>
  <w:style w:type="character" w:styleId="FootnoteReference">
    <w:name w:val="footnote reference"/>
    <w:basedOn w:val="DefaultParagraphFont"/>
    <w:uiPriority w:val="99"/>
    <w:semiHidden/>
    <w:rsid w:val="0088055B"/>
    <w:rPr>
      <w:rFonts w:cs="Times New Roman"/>
      <w:vertAlign w:val="superscript"/>
    </w:rPr>
  </w:style>
  <w:style w:type="paragraph" w:styleId="Date">
    <w:name w:val="Date"/>
    <w:basedOn w:val="Normal"/>
    <w:next w:val="Normal"/>
    <w:rsid w:val="002B625C"/>
  </w:style>
  <w:style w:type="paragraph" w:customStyle="1" w:styleId="Bullet">
    <w:name w:val="Bullet"/>
    <w:basedOn w:val="NormalNoSpace"/>
    <w:rsid w:val="006169E4"/>
    <w:pPr>
      <w:numPr>
        <w:numId w:val="1"/>
      </w:numPr>
    </w:pPr>
  </w:style>
  <w:style w:type="character" w:styleId="Hyperlink">
    <w:name w:val="Hyperlink"/>
    <w:basedOn w:val="DefaultParagraphFont"/>
    <w:uiPriority w:val="99"/>
    <w:rsid w:val="00F25955"/>
    <w:rPr>
      <w:rFonts w:cs="Times New Roman"/>
      <w:color w:val="0000FF"/>
      <w:u w:val="single"/>
    </w:rPr>
  </w:style>
  <w:style w:type="paragraph" w:styleId="TOC5">
    <w:name w:val="toc 5"/>
    <w:basedOn w:val="Normal"/>
    <w:next w:val="Normal"/>
    <w:autoRedefine/>
    <w:uiPriority w:val="39"/>
    <w:rsid w:val="004F5621"/>
    <w:pPr>
      <w:ind w:left="960"/>
    </w:pPr>
  </w:style>
  <w:style w:type="paragraph" w:styleId="NormalWeb">
    <w:name w:val="Normal (Web)"/>
    <w:basedOn w:val="Normal"/>
    <w:uiPriority w:val="99"/>
    <w:rsid w:val="00DC3312"/>
    <w:pPr>
      <w:spacing w:before="100" w:beforeAutospacing="1" w:after="100" w:afterAutospacing="1"/>
    </w:pPr>
    <w:rPr>
      <w:rFonts w:eastAsia="MS Mincho"/>
      <w:szCs w:val="24"/>
      <w:lang w:eastAsia="ja-JP"/>
    </w:rPr>
  </w:style>
  <w:style w:type="character" w:styleId="Strong">
    <w:name w:val="Strong"/>
    <w:basedOn w:val="DefaultParagraphFont"/>
    <w:qFormat/>
    <w:rsid w:val="00DC3312"/>
    <w:rPr>
      <w:rFonts w:cs="Times New Roman"/>
      <w:b/>
      <w:bCs/>
    </w:rPr>
  </w:style>
  <w:style w:type="paragraph" w:styleId="CommentSubject">
    <w:name w:val="annotation subject"/>
    <w:basedOn w:val="CommentText"/>
    <w:next w:val="CommentText"/>
    <w:link w:val="CommentSubjectChar"/>
    <w:uiPriority w:val="99"/>
    <w:semiHidden/>
    <w:rsid w:val="004F184A"/>
    <w:rPr>
      <w:b/>
      <w:bCs/>
      <w:sz w:val="20"/>
    </w:rPr>
  </w:style>
  <w:style w:type="character" w:styleId="PageNumber">
    <w:name w:val="page number"/>
    <w:basedOn w:val="DefaultParagraphFont"/>
    <w:rsid w:val="0043118B"/>
    <w:rPr>
      <w:rFonts w:cs="Times New Roman"/>
    </w:rPr>
  </w:style>
  <w:style w:type="paragraph" w:styleId="Caption">
    <w:name w:val="caption"/>
    <w:basedOn w:val="Normal"/>
    <w:next w:val="Normal"/>
    <w:qFormat/>
    <w:rsid w:val="005B475B"/>
    <w:rPr>
      <w:b/>
      <w:bCs/>
      <w:sz w:val="20"/>
    </w:rPr>
  </w:style>
  <w:style w:type="paragraph" w:customStyle="1" w:styleId="Default">
    <w:name w:val="Default"/>
    <w:link w:val="DefaultChar"/>
    <w:rsid w:val="00EC325C"/>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EC325C"/>
    <w:rPr>
      <w:rFonts w:ascii="Arial" w:hAnsi="Arial" w:cs="Arial"/>
      <w:color w:val="000000"/>
      <w:sz w:val="24"/>
      <w:szCs w:val="24"/>
      <w:lang w:val="en-US" w:eastAsia="en-US" w:bidi="ar-SA"/>
    </w:rPr>
  </w:style>
  <w:style w:type="table" w:styleId="TableGrid">
    <w:name w:val="Table Grid"/>
    <w:basedOn w:val="TableNormal"/>
    <w:rsid w:val="005268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locked/>
    <w:rsid w:val="00D9427A"/>
    <w:rPr>
      <w:rFonts w:cs="Times New Roman"/>
      <w:i/>
      <w:snapToGrid w:val="0"/>
      <w:sz w:val="24"/>
    </w:rPr>
  </w:style>
  <w:style w:type="paragraph" w:customStyle="1" w:styleId="Bullet1">
    <w:name w:val="Bullet1"/>
    <w:basedOn w:val="Normal"/>
    <w:rsid w:val="007F0F6F"/>
    <w:pPr>
      <w:numPr>
        <w:numId w:val="3"/>
      </w:numPr>
      <w:spacing w:before="120" w:after="0"/>
    </w:pPr>
  </w:style>
  <w:style w:type="paragraph" w:customStyle="1" w:styleId="AppHeading1">
    <w:name w:val="AppHeading 1"/>
    <w:aliases w:val="A1"/>
    <w:basedOn w:val="Normal"/>
    <w:next w:val="Normal"/>
    <w:autoRedefine/>
    <w:rsid w:val="004A0C06"/>
    <w:pPr>
      <w:keepNext/>
      <w:numPr>
        <w:numId w:val="5"/>
      </w:numPr>
      <w:autoSpaceDE w:val="0"/>
      <w:autoSpaceDN w:val="0"/>
      <w:adjustRightInd w:val="0"/>
      <w:spacing w:before="360" w:after="0"/>
      <w:outlineLvl w:val="0"/>
    </w:pPr>
    <w:rPr>
      <w:rFonts w:ascii="Arial Bold" w:hAnsi="Arial Bold"/>
      <w:b/>
      <w:color w:val="0000FF"/>
      <w:sz w:val="36"/>
    </w:rPr>
  </w:style>
  <w:style w:type="paragraph" w:customStyle="1" w:styleId="AppHeading2">
    <w:name w:val="AppHeading 2"/>
    <w:aliases w:val="A2"/>
    <w:basedOn w:val="Normal"/>
    <w:next w:val="Normal"/>
    <w:autoRedefine/>
    <w:rsid w:val="004A0C06"/>
    <w:pPr>
      <w:keepNext/>
      <w:numPr>
        <w:ilvl w:val="1"/>
        <w:numId w:val="5"/>
      </w:numPr>
      <w:autoSpaceDE w:val="0"/>
      <w:autoSpaceDN w:val="0"/>
      <w:adjustRightInd w:val="0"/>
      <w:spacing w:before="240" w:after="0"/>
      <w:outlineLvl w:val="1"/>
    </w:pPr>
    <w:rPr>
      <w:rFonts w:ascii="Arial Bold" w:hAnsi="Arial Bold"/>
      <w:b/>
      <w:color w:val="0000FF"/>
      <w:sz w:val="32"/>
    </w:rPr>
  </w:style>
  <w:style w:type="paragraph" w:customStyle="1" w:styleId="AppHeading3">
    <w:name w:val="AppHeading 3"/>
    <w:aliases w:val="A3"/>
    <w:basedOn w:val="Normal"/>
    <w:next w:val="Normal"/>
    <w:autoRedefine/>
    <w:rsid w:val="004A0C06"/>
    <w:pPr>
      <w:keepNext/>
      <w:tabs>
        <w:tab w:val="num" w:pos="2160"/>
      </w:tabs>
      <w:spacing w:before="240" w:after="80"/>
    </w:pPr>
    <w:rPr>
      <w:rFonts w:ascii="Arial Bold" w:hAnsi="Arial Bold"/>
      <w:b/>
      <w:color w:val="000000"/>
      <w:szCs w:val="24"/>
    </w:rPr>
  </w:style>
  <w:style w:type="paragraph" w:customStyle="1" w:styleId="AppHeading4">
    <w:name w:val="AppHeading 4"/>
    <w:aliases w:val="A4"/>
    <w:basedOn w:val="Normal"/>
    <w:next w:val="Normal"/>
    <w:autoRedefine/>
    <w:rsid w:val="004A0C06"/>
    <w:pPr>
      <w:numPr>
        <w:ilvl w:val="3"/>
        <w:numId w:val="5"/>
      </w:numPr>
      <w:autoSpaceDE w:val="0"/>
      <w:autoSpaceDN w:val="0"/>
      <w:adjustRightInd w:val="0"/>
      <w:spacing w:after="0"/>
      <w:outlineLvl w:val="3"/>
    </w:pPr>
    <w:rPr>
      <w:rFonts w:ascii="Arial Bold" w:hAnsi="Arial Bold"/>
      <w:b/>
      <w:color w:val="0000FF"/>
      <w:sz w:val="26"/>
    </w:rPr>
  </w:style>
  <w:style w:type="paragraph" w:customStyle="1" w:styleId="eCPCustomsTitle">
    <w:name w:val="eCP Customs Title"/>
    <w:basedOn w:val="Normal"/>
    <w:rsid w:val="004A0C06"/>
    <w:pPr>
      <w:autoSpaceDE w:val="0"/>
      <w:autoSpaceDN w:val="0"/>
      <w:adjustRightInd w:val="0"/>
      <w:spacing w:after="0"/>
      <w:jc w:val="right"/>
    </w:pPr>
    <w:rPr>
      <w:rFonts w:ascii="Arial" w:hAnsi="Arial"/>
      <w:b/>
      <w:color w:val="0000FF"/>
      <w:sz w:val="48"/>
    </w:rPr>
  </w:style>
  <w:style w:type="paragraph" w:customStyle="1" w:styleId="DocTitle">
    <w:name w:val="Doc Title"/>
    <w:rsid w:val="004A0C06"/>
    <w:pPr>
      <w:jc w:val="right"/>
    </w:pPr>
    <w:rPr>
      <w:rFonts w:ascii="Arial" w:hAnsi="Arial"/>
      <w:b/>
      <w:sz w:val="48"/>
    </w:rPr>
  </w:style>
  <w:style w:type="paragraph" w:customStyle="1" w:styleId="Draft">
    <w:name w:val="Draft"/>
    <w:rsid w:val="004A0C06"/>
    <w:pPr>
      <w:jc w:val="right"/>
    </w:pPr>
    <w:rPr>
      <w:rFonts w:ascii="Arial" w:hAnsi="Arial"/>
      <w:b/>
      <w:sz w:val="24"/>
    </w:rPr>
  </w:style>
  <w:style w:type="paragraph" w:customStyle="1" w:styleId="VersionNumber">
    <w:name w:val="Version Number"/>
    <w:rsid w:val="004A0C06"/>
    <w:pPr>
      <w:jc w:val="right"/>
    </w:pPr>
    <w:rPr>
      <w:rFonts w:ascii="Arial" w:hAnsi="Arial"/>
      <w:sz w:val="28"/>
    </w:rPr>
  </w:style>
  <w:style w:type="paragraph" w:customStyle="1" w:styleId="DocNo">
    <w:name w:val="Doc No"/>
    <w:next w:val="Normal"/>
    <w:rsid w:val="004A0C06"/>
    <w:pPr>
      <w:jc w:val="right"/>
    </w:pPr>
    <w:rPr>
      <w:rFonts w:ascii="Arial" w:hAnsi="Arial"/>
      <w:sz w:val="28"/>
    </w:rPr>
  </w:style>
  <w:style w:type="paragraph" w:customStyle="1" w:styleId="PubDate">
    <w:name w:val="PubDate"/>
    <w:rsid w:val="004A0C06"/>
    <w:pPr>
      <w:spacing w:after="120"/>
      <w:jc w:val="right"/>
    </w:pPr>
    <w:rPr>
      <w:rFonts w:ascii="Arial" w:hAnsi="Arial"/>
      <w:sz w:val="28"/>
    </w:rPr>
  </w:style>
  <w:style w:type="paragraph" w:customStyle="1" w:styleId="FrontMatterHeader">
    <w:name w:val="Front Matter Header"/>
    <w:next w:val="Normal"/>
    <w:rsid w:val="004A0C06"/>
    <w:pPr>
      <w:keepNext/>
      <w:spacing w:before="120" w:after="360"/>
      <w:jc w:val="center"/>
    </w:pPr>
    <w:rPr>
      <w:rFonts w:ascii="Arial Narrow" w:hAnsi="Arial Narrow"/>
      <w:b/>
      <w:color w:val="0000FF"/>
      <w:sz w:val="36"/>
    </w:rPr>
  </w:style>
  <w:style w:type="paragraph" w:styleId="TableofFigures">
    <w:name w:val="table of figures"/>
    <w:basedOn w:val="Normal"/>
    <w:next w:val="Normal"/>
    <w:uiPriority w:val="99"/>
    <w:rsid w:val="003E196B"/>
    <w:pPr>
      <w:tabs>
        <w:tab w:val="left" w:pos="1440"/>
        <w:tab w:val="right" w:leader="dot" w:pos="9360"/>
      </w:tabs>
      <w:spacing w:after="0"/>
      <w:ind w:left="475" w:hanging="475"/>
    </w:pPr>
  </w:style>
  <w:style w:type="paragraph" w:customStyle="1" w:styleId="GlossaryDefinition">
    <w:name w:val="GlossaryDefinition"/>
    <w:rsid w:val="004A0C06"/>
    <w:pPr>
      <w:spacing w:before="60" w:after="60"/>
    </w:pPr>
    <w:rPr>
      <w:rFonts w:ascii="Arial" w:hAnsi="Arial"/>
      <w:sz w:val="24"/>
    </w:rPr>
  </w:style>
  <w:style w:type="paragraph" w:customStyle="1" w:styleId="HeaderStyle">
    <w:name w:val="Header Style"/>
    <w:rsid w:val="004A0C06"/>
    <w:pPr>
      <w:pBdr>
        <w:bottom w:val="single" w:sz="4" w:space="4" w:color="auto"/>
      </w:pBdr>
      <w:tabs>
        <w:tab w:val="right" w:pos="9360"/>
      </w:tabs>
    </w:pPr>
    <w:rPr>
      <w:rFonts w:ascii="Arial Narrow" w:hAnsi="Arial Narrow"/>
      <w:noProof/>
      <w:sz w:val="18"/>
    </w:rPr>
  </w:style>
  <w:style w:type="paragraph" w:customStyle="1" w:styleId="SecurityLabel">
    <w:name w:val="Security Label"/>
    <w:basedOn w:val="Normal"/>
    <w:rsid w:val="004A0C06"/>
    <w:pPr>
      <w:autoSpaceDE w:val="0"/>
      <w:autoSpaceDN w:val="0"/>
      <w:adjustRightInd w:val="0"/>
      <w:spacing w:after="0"/>
      <w:jc w:val="center"/>
    </w:pPr>
    <w:rPr>
      <w:rFonts w:ascii="Arial" w:hAnsi="Arial"/>
      <w:b/>
      <w:sz w:val="28"/>
      <w:szCs w:val="16"/>
    </w:rPr>
  </w:style>
  <w:style w:type="paragraph" w:customStyle="1" w:styleId="AppHeading5">
    <w:name w:val="AppHeading 5"/>
    <w:aliases w:val="A5"/>
    <w:next w:val="Normal"/>
    <w:autoRedefine/>
    <w:rsid w:val="004A0C06"/>
    <w:pPr>
      <w:keepNext/>
      <w:tabs>
        <w:tab w:val="num" w:pos="1080"/>
      </w:tabs>
      <w:spacing w:before="120" w:line="300" w:lineRule="exact"/>
      <w:ind w:left="1080" w:hanging="360"/>
    </w:pPr>
    <w:rPr>
      <w:rFonts w:ascii="Arial Narrow" w:hAnsi="Arial Narrow"/>
      <w:b/>
      <w:color w:val="0000FF"/>
      <w:sz w:val="24"/>
    </w:rPr>
  </w:style>
  <w:style w:type="paragraph" w:styleId="ListBullet">
    <w:name w:val="List Bullet"/>
    <w:basedOn w:val="Normal"/>
    <w:autoRedefine/>
    <w:rsid w:val="004A0C06"/>
    <w:pPr>
      <w:tabs>
        <w:tab w:val="left" w:pos="1080"/>
      </w:tabs>
      <w:autoSpaceDE w:val="0"/>
      <w:autoSpaceDN w:val="0"/>
      <w:adjustRightInd w:val="0"/>
      <w:spacing w:after="0"/>
    </w:pPr>
    <w:rPr>
      <w:rFonts w:ascii="Arial" w:hAnsi="Arial"/>
      <w:sz w:val="20"/>
      <w:szCs w:val="16"/>
    </w:rPr>
  </w:style>
  <w:style w:type="paragraph" w:styleId="ListBullet2">
    <w:name w:val="List Bullet 2"/>
    <w:basedOn w:val="Normal"/>
    <w:autoRedefine/>
    <w:rsid w:val="004A0C06"/>
    <w:pPr>
      <w:numPr>
        <w:numId w:val="4"/>
      </w:numPr>
      <w:tabs>
        <w:tab w:val="clear" w:pos="720"/>
        <w:tab w:val="num" w:pos="1440"/>
        <w:tab w:val="num" w:pos="2952"/>
      </w:tabs>
      <w:autoSpaceDE w:val="0"/>
      <w:autoSpaceDN w:val="0"/>
      <w:adjustRightInd w:val="0"/>
      <w:spacing w:after="0"/>
      <w:ind w:left="1440"/>
    </w:pPr>
    <w:rPr>
      <w:rFonts w:ascii="Arial" w:hAnsi="Arial"/>
      <w:sz w:val="20"/>
      <w:szCs w:val="16"/>
    </w:rPr>
  </w:style>
  <w:style w:type="paragraph" w:styleId="ListBullet3">
    <w:name w:val="List Bullet 3"/>
    <w:basedOn w:val="Normal"/>
    <w:autoRedefine/>
    <w:rsid w:val="004A0C06"/>
    <w:pPr>
      <w:numPr>
        <w:ilvl w:val="2"/>
        <w:numId w:val="6"/>
      </w:numPr>
      <w:tabs>
        <w:tab w:val="num" w:pos="1800"/>
      </w:tabs>
      <w:autoSpaceDE w:val="0"/>
      <w:autoSpaceDN w:val="0"/>
      <w:adjustRightInd w:val="0"/>
      <w:spacing w:after="0"/>
      <w:ind w:left="1800"/>
    </w:pPr>
    <w:rPr>
      <w:rFonts w:ascii="Arial" w:hAnsi="Arial"/>
      <w:sz w:val="20"/>
      <w:szCs w:val="16"/>
    </w:rPr>
  </w:style>
  <w:style w:type="paragraph" w:styleId="ListNumber">
    <w:name w:val="List Number"/>
    <w:basedOn w:val="Normal"/>
    <w:autoRedefine/>
    <w:rsid w:val="004A0C06"/>
    <w:pPr>
      <w:numPr>
        <w:numId w:val="7"/>
      </w:numPr>
      <w:autoSpaceDE w:val="0"/>
      <w:autoSpaceDN w:val="0"/>
      <w:adjustRightInd w:val="0"/>
      <w:spacing w:after="0"/>
      <w:ind w:left="1080" w:hanging="360"/>
    </w:pPr>
    <w:rPr>
      <w:rFonts w:ascii="Arial" w:hAnsi="Arial"/>
      <w:sz w:val="20"/>
      <w:szCs w:val="16"/>
    </w:rPr>
  </w:style>
  <w:style w:type="paragraph" w:styleId="ListNumber2">
    <w:name w:val="List Number 2"/>
    <w:basedOn w:val="Normal"/>
    <w:autoRedefine/>
    <w:rsid w:val="004A0C06"/>
    <w:pPr>
      <w:numPr>
        <w:ilvl w:val="1"/>
        <w:numId w:val="7"/>
      </w:numPr>
      <w:autoSpaceDE w:val="0"/>
      <w:autoSpaceDN w:val="0"/>
      <w:adjustRightInd w:val="0"/>
      <w:spacing w:after="0"/>
      <w:ind w:left="1440" w:hanging="360"/>
    </w:pPr>
    <w:rPr>
      <w:rFonts w:ascii="Arial" w:hAnsi="Arial"/>
      <w:sz w:val="20"/>
      <w:szCs w:val="16"/>
    </w:rPr>
  </w:style>
  <w:style w:type="paragraph" w:styleId="ListNumber3">
    <w:name w:val="List Number 3"/>
    <w:basedOn w:val="Normal"/>
    <w:autoRedefine/>
    <w:rsid w:val="004A0C06"/>
    <w:pPr>
      <w:numPr>
        <w:ilvl w:val="2"/>
        <w:numId w:val="7"/>
      </w:numPr>
      <w:tabs>
        <w:tab w:val="clear" w:pos="2160"/>
        <w:tab w:val="left" w:pos="1800"/>
      </w:tabs>
      <w:autoSpaceDE w:val="0"/>
      <w:autoSpaceDN w:val="0"/>
      <w:adjustRightInd w:val="0"/>
      <w:spacing w:after="0"/>
      <w:ind w:left="1800" w:hanging="360"/>
    </w:pPr>
    <w:rPr>
      <w:rFonts w:ascii="Arial" w:hAnsi="Arial"/>
      <w:sz w:val="20"/>
      <w:szCs w:val="16"/>
    </w:rPr>
  </w:style>
  <w:style w:type="paragraph" w:styleId="TOC6">
    <w:name w:val="toc 6"/>
    <w:basedOn w:val="Normal"/>
    <w:next w:val="Normal"/>
    <w:autoRedefine/>
    <w:uiPriority w:val="39"/>
    <w:rsid w:val="004A0C06"/>
    <w:pPr>
      <w:autoSpaceDE w:val="0"/>
      <w:autoSpaceDN w:val="0"/>
      <w:adjustRightInd w:val="0"/>
      <w:spacing w:after="0"/>
      <w:ind w:left="1000"/>
    </w:pPr>
    <w:rPr>
      <w:sz w:val="18"/>
      <w:szCs w:val="18"/>
    </w:rPr>
  </w:style>
  <w:style w:type="paragraph" w:styleId="TOC7">
    <w:name w:val="toc 7"/>
    <w:basedOn w:val="Normal"/>
    <w:next w:val="Normal"/>
    <w:autoRedefine/>
    <w:uiPriority w:val="39"/>
    <w:rsid w:val="004A0C06"/>
    <w:pPr>
      <w:autoSpaceDE w:val="0"/>
      <w:autoSpaceDN w:val="0"/>
      <w:adjustRightInd w:val="0"/>
      <w:spacing w:after="0"/>
      <w:ind w:left="1200"/>
    </w:pPr>
    <w:rPr>
      <w:sz w:val="18"/>
      <w:szCs w:val="18"/>
    </w:rPr>
  </w:style>
  <w:style w:type="paragraph" w:styleId="TOC8">
    <w:name w:val="toc 8"/>
    <w:basedOn w:val="Normal"/>
    <w:next w:val="Normal"/>
    <w:autoRedefine/>
    <w:uiPriority w:val="39"/>
    <w:rsid w:val="004A0C06"/>
    <w:pPr>
      <w:autoSpaceDE w:val="0"/>
      <w:autoSpaceDN w:val="0"/>
      <w:adjustRightInd w:val="0"/>
      <w:spacing w:after="0"/>
      <w:ind w:left="1400"/>
    </w:pPr>
    <w:rPr>
      <w:sz w:val="18"/>
      <w:szCs w:val="18"/>
    </w:rPr>
  </w:style>
  <w:style w:type="paragraph" w:styleId="TOC9">
    <w:name w:val="toc 9"/>
    <w:basedOn w:val="Normal"/>
    <w:next w:val="Normal"/>
    <w:autoRedefine/>
    <w:uiPriority w:val="39"/>
    <w:rsid w:val="004A0C06"/>
    <w:pPr>
      <w:autoSpaceDE w:val="0"/>
      <w:autoSpaceDN w:val="0"/>
      <w:adjustRightInd w:val="0"/>
      <w:spacing w:after="0"/>
      <w:ind w:left="1600"/>
    </w:pPr>
    <w:rPr>
      <w:sz w:val="18"/>
      <w:szCs w:val="18"/>
    </w:rPr>
  </w:style>
  <w:style w:type="paragraph" w:customStyle="1" w:styleId="TableTitle">
    <w:name w:val="Table Title"/>
    <w:basedOn w:val="Normal"/>
    <w:next w:val="Normal"/>
    <w:rsid w:val="004A0C06"/>
    <w:pPr>
      <w:autoSpaceDE w:val="0"/>
      <w:autoSpaceDN w:val="0"/>
      <w:adjustRightInd w:val="0"/>
      <w:spacing w:after="0"/>
    </w:pPr>
    <w:rPr>
      <w:rFonts w:ascii="Arial Bold" w:hAnsi="Arial Bold"/>
      <w:b/>
      <w:sz w:val="20"/>
      <w:szCs w:val="16"/>
    </w:rPr>
  </w:style>
  <w:style w:type="paragraph" w:customStyle="1" w:styleId="TableText">
    <w:name w:val="Table Text"/>
    <w:basedOn w:val="Normal"/>
    <w:rsid w:val="004A0C06"/>
    <w:pPr>
      <w:autoSpaceDE w:val="0"/>
      <w:autoSpaceDN w:val="0"/>
      <w:adjustRightInd w:val="0"/>
      <w:spacing w:before="60" w:after="60"/>
    </w:pPr>
    <w:rPr>
      <w:rFonts w:ascii="Arial" w:hAnsi="Arial"/>
      <w:sz w:val="22"/>
      <w:szCs w:val="16"/>
    </w:rPr>
  </w:style>
  <w:style w:type="paragraph" w:customStyle="1" w:styleId="TableColhd">
    <w:name w:val="Table Colhd"/>
    <w:basedOn w:val="Normal"/>
    <w:rsid w:val="004A0C06"/>
    <w:pPr>
      <w:autoSpaceDE w:val="0"/>
      <w:autoSpaceDN w:val="0"/>
      <w:adjustRightInd w:val="0"/>
      <w:spacing w:before="60" w:after="60"/>
      <w:jc w:val="center"/>
    </w:pPr>
    <w:rPr>
      <w:rFonts w:ascii="Arial" w:hAnsi="Arial"/>
      <w:b/>
      <w:sz w:val="22"/>
    </w:rPr>
  </w:style>
  <w:style w:type="paragraph" w:customStyle="1" w:styleId="TableData">
    <w:name w:val="Table Data"/>
    <w:basedOn w:val="Normal"/>
    <w:rsid w:val="004A0C06"/>
    <w:pPr>
      <w:autoSpaceDE w:val="0"/>
      <w:autoSpaceDN w:val="0"/>
      <w:adjustRightInd w:val="0"/>
      <w:spacing w:before="60" w:after="60"/>
    </w:pPr>
    <w:rPr>
      <w:rFonts w:ascii="Arial" w:hAnsi="Arial"/>
      <w:sz w:val="20"/>
      <w:szCs w:val="16"/>
    </w:rPr>
  </w:style>
  <w:style w:type="paragraph" w:customStyle="1" w:styleId="SubmissionInfo">
    <w:name w:val="Submission Info"/>
    <w:basedOn w:val="Normal"/>
    <w:rsid w:val="004A0C06"/>
    <w:pPr>
      <w:autoSpaceDE w:val="0"/>
      <w:autoSpaceDN w:val="0"/>
      <w:adjustRightInd w:val="0"/>
      <w:spacing w:after="0"/>
      <w:ind w:right="101"/>
      <w:jc w:val="right"/>
    </w:pPr>
    <w:rPr>
      <w:rFonts w:ascii="Arial" w:hAnsi="Arial"/>
      <w:sz w:val="28"/>
      <w:szCs w:val="28"/>
    </w:rPr>
  </w:style>
  <w:style w:type="paragraph" w:customStyle="1" w:styleId="Author">
    <w:name w:val="Author"/>
    <w:rsid w:val="004A0C06"/>
    <w:pPr>
      <w:spacing w:before="60"/>
    </w:pPr>
    <w:rPr>
      <w:rFonts w:ascii="Arial" w:hAnsi="Arial"/>
      <w:sz w:val="24"/>
    </w:rPr>
  </w:style>
  <w:style w:type="paragraph" w:customStyle="1" w:styleId="BulletList">
    <w:name w:val="BulletList"/>
    <w:aliases w:val="bl"/>
    <w:rsid w:val="004A0C06"/>
    <w:pPr>
      <w:numPr>
        <w:numId w:val="8"/>
      </w:numPr>
      <w:spacing w:before="80" w:after="80"/>
    </w:pPr>
    <w:rPr>
      <w:rFonts w:ascii="Arial" w:hAnsi="Arial"/>
      <w:sz w:val="24"/>
    </w:rPr>
  </w:style>
  <w:style w:type="paragraph" w:customStyle="1" w:styleId="GlossaryTerm">
    <w:name w:val="GlossaryTerm"/>
    <w:rsid w:val="004A0C06"/>
    <w:pPr>
      <w:spacing w:before="60" w:after="60"/>
    </w:pPr>
    <w:rPr>
      <w:rFonts w:ascii="Arial" w:hAnsi="Arial"/>
      <w:b/>
      <w:sz w:val="24"/>
    </w:rPr>
  </w:style>
  <w:style w:type="paragraph" w:customStyle="1" w:styleId="Footer2">
    <w:name w:val="Footer2"/>
    <w:aliases w:val="f2"/>
    <w:next w:val="Normal"/>
    <w:rsid w:val="004A0C06"/>
    <w:pPr>
      <w:jc w:val="center"/>
    </w:pPr>
    <w:rPr>
      <w:rFonts w:ascii="Arial Narrow" w:hAnsi="Arial Narrow"/>
      <w:b/>
    </w:rPr>
  </w:style>
  <w:style w:type="paragraph" w:customStyle="1" w:styleId="pstd">
    <w:name w:val="p:std"/>
    <w:basedOn w:val="Normal"/>
    <w:rsid w:val="004A0C06"/>
    <w:pPr>
      <w:autoSpaceDE w:val="0"/>
      <w:autoSpaceDN w:val="0"/>
      <w:adjustRightInd w:val="0"/>
      <w:spacing w:before="80" w:after="80"/>
      <w:jc w:val="both"/>
    </w:pPr>
    <w:rPr>
      <w:rFonts w:ascii="Arial" w:hAnsi="Arial"/>
      <w:sz w:val="20"/>
      <w:szCs w:val="16"/>
    </w:rPr>
  </w:style>
  <w:style w:type="paragraph" w:styleId="Title">
    <w:name w:val="Title"/>
    <w:basedOn w:val="Normal"/>
    <w:link w:val="TitleChar"/>
    <w:uiPriority w:val="10"/>
    <w:qFormat/>
    <w:rsid w:val="004A0C06"/>
    <w:pPr>
      <w:autoSpaceDE w:val="0"/>
      <w:autoSpaceDN w:val="0"/>
      <w:adjustRightInd w:val="0"/>
      <w:spacing w:after="0"/>
      <w:jc w:val="center"/>
    </w:pPr>
    <w:rPr>
      <w:b/>
      <w:sz w:val="28"/>
      <w:szCs w:val="16"/>
    </w:rPr>
  </w:style>
  <w:style w:type="character" w:customStyle="1" w:styleId="TitleChar">
    <w:name w:val="Title Char"/>
    <w:basedOn w:val="DefaultParagraphFont"/>
    <w:link w:val="Title"/>
    <w:uiPriority w:val="10"/>
    <w:locked/>
    <w:rsid w:val="004A0C06"/>
    <w:rPr>
      <w:rFonts w:cs="Times New Roman"/>
      <w:b/>
      <w:sz w:val="16"/>
      <w:szCs w:val="16"/>
    </w:rPr>
  </w:style>
  <w:style w:type="paragraph" w:customStyle="1" w:styleId="eCPDeliverabletitle">
    <w:name w:val="eCP Deliverable title"/>
    <w:basedOn w:val="Normal"/>
    <w:autoRedefine/>
    <w:rsid w:val="004A0C06"/>
    <w:pPr>
      <w:autoSpaceDE w:val="0"/>
      <w:autoSpaceDN w:val="0"/>
      <w:adjustRightInd w:val="0"/>
      <w:spacing w:after="0"/>
      <w:jc w:val="right"/>
      <w:outlineLvl w:val="0"/>
    </w:pPr>
    <w:rPr>
      <w:rFonts w:ascii="Arial" w:hAnsi="Arial"/>
      <w:sz w:val="20"/>
      <w:szCs w:val="16"/>
      <w:lang w:val="fr-FR"/>
    </w:rPr>
  </w:style>
  <w:style w:type="paragraph" w:styleId="BodyText3">
    <w:name w:val="Body Text 3"/>
    <w:basedOn w:val="Normal"/>
    <w:link w:val="BodyText3Char"/>
    <w:rsid w:val="004A0C06"/>
    <w:pPr>
      <w:autoSpaceDE w:val="0"/>
      <w:autoSpaceDN w:val="0"/>
      <w:adjustRightInd w:val="0"/>
      <w:spacing w:after="0"/>
      <w:jc w:val="both"/>
    </w:pPr>
    <w:rPr>
      <w:rFonts w:ascii="Arial" w:hAnsi="Arial"/>
      <w:color w:val="000000"/>
      <w:sz w:val="20"/>
      <w:szCs w:val="16"/>
    </w:rPr>
  </w:style>
  <w:style w:type="character" w:customStyle="1" w:styleId="BodyText3Char">
    <w:name w:val="Body Text 3 Char"/>
    <w:basedOn w:val="DefaultParagraphFont"/>
    <w:link w:val="BodyText3"/>
    <w:locked/>
    <w:rsid w:val="004A0C06"/>
    <w:rPr>
      <w:rFonts w:ascii="Arial" w:hAnsi="Arial" w:cs="Times New Roman"/>
      <w:color w:val="000000"/>
      <w:sz w:val="16"/>
      <w:szCs w:val="16"/>
    </w:rPr>
  </w:style>
  <w:style w:type="paragraph" w:customStyle="1" w:styleId="GuidanceList1">
    <w:name w:val="GuidanceList1"/>
    <w:basedOn w:val="Normal"/>
    <w:rsid w:val="004A0C06"/>
    <w:pPr>
      <w:numPr>
        <w:numId w:val="9"/>
      </w:numPr>
      <w:autoSpaceDE w:val="0"/>
      <w:autoSpaceDN w:val="0"/>
      <w:adjustRightInd w:val="0"/>
      <w:spacing w:after="0"/>
    </w:pPr>
    <w:rPr>
      <w:sz w:val="20"/>
      <w:szCs w:val="16"/>
    </w:rPr>
  </w:style>
  <w:style w:type="paragraph" w:styleId="Index1">
    <w:name w:val="index 1"/>
    <w:basedOn w:val="Normal"/>
    <w:next w:val="Normal"/>
    <w:autoRedefine/>
    <w:rsid w:val="004A0C06"/>
    <w:pPr>
      <w:autoSpaceDE w:val="0"/>
      <w:autoSpaceDN w:val="0"/>
      <w:adjustRightInd w:val="0"/>
      <w:spacing w:after="0"/>
      <w:ind w:left="240" w:hanging="240"/>
    </w:pPr>
    <w:rPr>
      <w:rFonts w:ascii="Arial" w:hAnsi="Arial"/>
      <w:sz w:val="20"/>
      <w:szCs w:val="16"/>
    </w:rPr>
  </w:style>
  <w:style w:type="paragraph" w:styleId="Index2">
    <w:name w:val="index 2"/>
    <w:basedOn w:val="Normal"/>
    <w:next w:val="Normal"/>
    <w:autoRedefine/>
    <w:rsid w:val="004A0C06"/>
    <w:pPr>
      <w:autoSpaceDE w:val="0"/>
      <w:autoSpaceDN w:val="0"/>
      <w:adjustRightInd w:val="0"/>
      <w:spacing w:after="0"/>
      <w:ind w:left="480" w:hanging="240"/>
    </w:pPr>
    <w:rPr>
      <w:rFonts w:ascii="Arial" w:hAnsi="Arial"/>
      <w:sz w:val="20"/>
      <w:szCs w:val="16"/>
    </w:rPr>
  </w:style>
  <w:style w:type="paragraph" w:styleId="Index3">
    <w:name w:val="index 3"/>
    <w:basedOn w:val="Normal"/>
    <w:next w:val="Normal"/>
    <w:autoRedefine/>
    <w:rsid w:val="004A0C06"/>
    <w:pPr>
      <w:autoSpaceDE w:val="0"/>
      <w:autoSpaceDN w:val="0"/>
      <w:adjustRightInd w:val="0"/>
      <w:spacing w:after="0"/>
      <w:ind w:left="720" w:hanging="240"/>
    </w:pPr>
    <w:rPr>
      <w:rFonts w:ascii="Arial" w:hAnsi="Arial"/>
      <w:sz w:val="20"/>
      <w:szCs w:val="16"/>
    </w:rPr>
  </w:style>
  <w:style w:type="paragraph" w:styleId="Index4">
    <w:name w:val="index 4"/>
    <w:basedOn w:val="Normal"/>
    <w:next w:val="Normal"/>
    <w:autoRedefine/>
    <w:rsid w:val="004A0C06"/>
    <w:pPr>
      <w:autoSpaceDE w:val="0"/>
      <w:autoSpaceDN w:val="0"/>
      <w:adjustRightInd w:val="0"/>
      <w:spacing w:after="0"/>
      <w:ind w:left="960" w:hanging="240"/>
    </w:pPr>
    <w:rPr>
      <w:rFonts w:ascii="Arial" w:hAnsi="Arial"/>
      <w:sz w:val="20"/>
      <w:szCs w:val="16"/>
    </w:rPr>
  </w:style>
  <w:style w:type="paragraph" w:styleId="Index5">
    <w:name w:val="index 5"/>
    <w:basedOn w:val="Normal"/>
    <w:next w:val="Normal"/>
    <w:autoRedefine/>
    <w:rsid w:val="004A0C06"/>
    <w:pPr>
      <w:autoSpaceDE w:val="0"/>
      <w:autoSpaceDN w:val="0"/>
      <w:adjustRightInd w:val="0"/>
      <w:spacing w:after="0"/>
      <w:ind w:left="1200" w:hanging="240"/>
    </w:pPr>
    <w:rPr>
      <w:rFonts w:ascii="Arial" w:hAnsi="Arial"/>
      <w:sz w:val="20"/>
      <w:szCs w:val="16"/>
    </w:rPr>
  </w:style>
  <w:style w:type="paragraph" w:styleId="Index6">
    <w:name w:val="index 6"/>
    <w:basedOn w:val="Normal"/>
    <w:next w:val="Normal"/>
    <w:autoRedefine/>
    <w:rsid w:val="004A0C06"/>
    <w:pPr>
      <w:autoSpaceDE w:val="0"/>
      <w:autoSpaceDN w:val="0"/>
      <w:adjustRightInd w:val="0"/>
      <w:spacing w:after="0"/>
      <w:ind w:left="1440" w:hanging="240"/>
    </w:pPr>
    <w:rPr>
      <w:rFonts w:ascii="Arial" w:hAnsi="Arial"/>
      <w:sz w:val="20"/>
      <w:szCs w:val="16"/>
    </w:rPr>
  </w:style>
  <w:style w:type="paragraph" w:styleId="Index7">
    <w:name w:val="index 7"/>
    <w:basedOn w:val="Normal"/>
    <w:next w:val="Normal"/>
    <w:autoRedefine/>
    <w:rsid w:val="004A0C06"/>
    <w:pPr>
      <w:autoSpaceDE w:val="0"/>
      <w:autoSpaceDN w:val="0"/>
      <w:adjustRightInd w:val="0"/>
      <w:spacing w:after="0"/>
      <w:ind w:left="1680" w:hanging="240"/>
    </w:pPr>
    <w:rPr>
      <w:rFonts w:ascii="Arial" w:hAnsi="Arial"/>
      <w:sz w:val="20"/>
      <w:szCs w:val="16"/>
    </w:rPr>
  </w:style>
  <w:style w:type="paragraph" w:styleId="Index8">
    <w:name w:val="index 8"/>
    <w:basedOn w:val="Normal"/>
    <w:next w:val="Normal"/>
    <w:autoRedefine/>
    <w:rsid w:val="004A0C06"/>
    <w:pPr>
      <w:autoSpaceDE w:val="0"/>
      <w:autoSpaceDN w:val="0"/>
      <w:adjustRightInd w:val="0"/>
      <w:spacing w:after="0"/>
      <w:ind w:left="1920" w:hanging="240"/>
    </w:pPr>
    <w:rPr>
      <w:rFonts w:ascii="Arial" w:hAnsi="Arial"/>
      <w:sz w:val="20"/>
      <w:szCs w:val="16"/>
    </w:rPr>
  </w:style>
  <w:style w:type="paragraph" w:styleId="Index9">
    <w:name w:val="index 9"/>
    <w:basedOn w:val="Normal"/>
    <w:next w:val="Normal"/>
    <w:autoRedefine/>
    <w:rsid w:val="004A0C06"/>
    <w:pPr>
      <w:autoSpaceDE w:val="0"/>
      <w:autoSpaceDN w:val="0"/>
      <w:adjustRightInd w:val="0"/>
      <w:spacing w:after="0"/>
      <w:ind w:left="2160" w:hanging="240"/>
    </w:pPr>
    <w:rPr>
      <w:rFonts w:ascii="Arial" w:hAnsi="Arial"/>
      <w:sz w:val="20"/>
      <w:szCs w:val="16"/>
    </w:rPr>
  </w:style>
  <w:style w:type="paragraph" w:styleId="IndexHeading">
    <w:name w:val="index heading"/>
    <w:basedOn w:val="Normal"/>
    <w:next w:val="Index1"/>
    <w:rsid w:val="004A0C06"/>
    <w:pPr>
      <w:autoSpaceDE w:val="0"/>
      <w:autoSpaceDN w:val="0"/>
      <w:adjustRightInd w:val="0"/>
      <w:spacing w:after="0"/>
    </w:pPr>
    <w:rPr>
      <w:rFonts w:ascii="Arial" w:hAnsi="Arial"/>
      <w:sz w:val="20"/>
      <w:szCs w:val="16"/>
    </w:rPr>
  </w:style>
  <w:style w:type="paragraph" w:customStyle="1" w:styleId="Table-ListBullet">
    <w:name w:val="Table-List Bullet"/>
    <w:basedOn w:val="Normal"/>
    <w:rsid w:val="004A0C06"/>
    <w:pPr>
      <w:numPr>
        <w:numId w:val="10"/>
      </w:numPr>
      <w:spacing w:before="60" w:after="60"/>
    </w:pPr>
    <w:rPr>
      <w:rFonts w:ascii="Arial" w:hAnsi="Arial"/>
      <w:sz w:val="20"/>
      <w:szCs w:val="16"/>
    </w:rPr>
  </w:style>
  <w:style w:type="character" w:styleId="FollowedHyperlink">
    <w:name w:val="FollowedHyperlink"/>
    <w:basedOn w:val="DefaultParagraphFont"/>
    <w:rsid w:val="004A0C06"/>
    <w:rPr>
      <w:rFonts w:cs="Times New Roman"/>
      <w:color w:val="800080"/>
      <w:u w:val="single"/>
    </w:rPr>
  </w:style>
  <w:style w:type="paragraph" w:customStyle="1" w:styleId="RRText">
    <w:name w:val="RR Text"/>
    <w:basedOn w:val="Normal"/>
    <w:rsid w:val="004A0C06"/>
    <w:pPr>
      <w:spacing w:after="0"/>
    </w:pPr>
    <w:rPr>
      <w:rFonts w:ascii="Arial" w:hAnsi="Arial"/>
      <w:sz w:val="20"/>
    </w:rPr>
  </w:style>
  <w:style w:type="paragraph" w:customStyle="1" w:styleId="SuperTypeTextChar">
    <w:name w:val="Super Type Text Char"/>
    <w:basedOn w:val="Normal"/>
    <w:rsid w:val="004A0C06"/>
    <w:pPr>
      <w:autoSpaceDE w:val="0"/>
      <w:autoSpaceDN w:val="0"/>
      <w:adjustRightInd w:val="0"/>
      <w:spacing w:after="0"/>
      <w:ind w:left="-144" w:right="-144"/>
      <w:jc w:val="center"/>
    </w:pPr>
    <w:rPr>
      <w:rFonts w:ascii="Arial" w:hAnsi="Arial" w:cs="Arial"/>
      <w:color w:val="000000"/>
      <w:sz w:val="10"/>
      <w:szCs w:val="9"/>
    </w:rPr>
  </w:style>
  <w:style w:type="paragraph" w:customStyle="1" w:styleId="SubjectAreaText">
    <w:name w:val="Subject Area Text"/>
    <w:basedOn w:val="Normal"/>
    <w:rsid w:val="004A0C06"/>
    <w:pPr>
      <w:autoSpaceDE w:val="0"/>
      <w:autoSpaceDN w:val="0"/>
      <w:adjustRightInd w:val="0"/>
      <w:spacing w:after="0"/>
      <w:jc w:val="center"/>
    </w:pPr>
    <w:rPr>
      <w:rFonts w:ascii="Arial" w:hAnsi="Arial" w:cs="Arial"/>
      <w:b/>
      <w:color w:val="000000"/>
      <w:sz w:val="12"/>
      <w:szCs w:val="12"/>
    </w:rPr>
  </w:style>
  <w:style w:type="paragraph" w:customStyle="1" w:styleId="Style1">
    <w:name w:val="Style1"/>
    <w:basedOn w:val="Normal"/>
    <w:next w:val="SubjectAreaText"/>
    <w:rsid w:val="004A0C06"/>
    <w:pPr>
      <w:autoSpaceDE w:val="0"/>
      <w:autoSpaceDN w:val="0"/>
      <w:adjustRightInd w:val="0"/>
      <w:spacing w:after="0"/>
      <w:jc w:val="center"/>
    </w:pPr>
    <w:rPr>
      <w:rFonts w:ascii="Arial" w:hAnsi="Arial" w:cs="Arial"/>
      <w:color w:val="000000"/>
      <w:sz w:val="20"/>
    </w:rPr>
  </w:style>
  <w:style w:type="paragraph" w:customStyle="1" w:styleId="StyleTableText10ptLeft">
    <w:name w:val="Style Table Text + 10 pt Left"/>
    <w:basedOn w:val="TableText"/>
    <w:rsid w:val="004A0C06"/>
    <w:rPr>
      <w:sz w:val="20"/>
      <w:szCs w:val="20"/>
    </w:rPr>
  </w:style>
  <w:style w:type="character" w:customStyle="1" w:styleId="SoDAField">
    <w:name w:val="SoDA Field"/>
    <w:rsid w:val="004A0C06"/>
    <w:rPr>
      <w:color w:val="auto"/>
      <w:sz w:val="20"/>
    </w:rPr>
  </w:style>
  <w:style w:type="character" w:customStyle="1" w:styleId="SuperTypeTextCharChar1">
    <w:name w:val="Super Type Text Char Char1"/>
    <w:basedOn w:val="DefaultParagraphFont"/>
    <w:rsid w:val="004A0C06"/>
    <w:rPr>
      <w:rFonts w:ascii="Arial" w:hAnsi="Arial" w:cs="Arial"/>
      <w:color w:val="000000"/>
      <w:sz w:val="9"/>
      <w:szCs w:val="9"/>
      <w:lang w:val="en-US" w:eastAsia="en-US" w:bidi="ar-SA"/>
    </w:rPr>
  </w:style>
  <w:style w:type="paragraph" w:customStyle="1" w:styleId="Keywords">
    <w:name w:val="Keywords"/>
    <w:basedOn w:val="Heading8"/>
    <w:rsid w:val="004A0C06"/>
    <w:pPr>
      <w:keepNext/>
      <w:keepLines w:val="0"/>
      <w:numPr>
        <w:ilvl w:val="0"/>
        <w:numId w:val="0"/>
      </w:numPr>
      <w:spacing w:before="120" w:after="120"/>
      <w:jc w:val="center"/>
    </w:pPr>
    <w:rPr>
      <w:rFonts w:ascii="Arial" w:hAnsi="Arial"/>
      <w:b/>
      <w:i w:val="0"/>
      <w:sz w:val="36"/>
    </w:rPr>
  </w:style>
  <w:style w:type="paragraph" w:customStyle="1" w:styleId="TableText0">
    <w:name w:val="TableText"/>
    <w:aliases w:val="tt"/>
    <w:link w:val="TableTextChar"/>
    <w:rsid w:val="004A0C06"/>
    <w:pPr>
      <w:spacing w:before="40" w:after="40"/>
    </w:pPr>
    <w:rPr>
      <w:rFonts w:ascii="Arial" w:hAnsi="Arial"/>
    </w:rPr>
  </w:style>
  <w:style w:type="character" w:customStyle="1" w:styleId="TableTextChar">
    <w:name w:val="TableText Char"/>
    <w:aliases w:val="tt Char"/>
    <w:basedOn w:val="DefaultParagraphFont"/>
    <w:link w:val="TableText0"/>
    <w:locked/>
    <w:rsid w:val="004A0C06"/>
    <w:rPr>
      <w:rFonts w:ascii="Arial" w:hAnsi="Arial"/>
      <w:lang w:val="en-US" w:eastAsia="en-US" w:bidi="ar-SA"/>
    </w:rPr>
  </w:style>
  <w:style w:type="character" w:customStyle="1" w:styleId="SuperTypeTextCharChar">
    <w:name w:val="Super Type Text Char Char"/>
    <w:basedOn w:val="DefaultParagraphFont"/>
    <w:rsid w:val="004A0C06"/>
    <w:rPr>
      <w:rFonts w:ascii="Arial" w:hAnsi="Arial" w:cs="Arial"/>
      <w:color w:val="000000"/>
      <w:sz w:val="9"/>
      <w:szCs w:val="9"/>
      <w:lang w:val="en-US" w:eastAsia="en-US" w:bidi="ar-SA"/>
    </w:rPr>
  </w:style>
  <w:style w:type="paragraph" w:customStyle="1" w:styleId="SuperTypeText">
    <w:name w:val="Super Type Text"/>
    <w:basedOn w:val="Normal"/>
    <w:rsid w:val="004A0C06"/>
    <w:pPr>
      <w:autoSpaceDE w:val="0"/>
      <w:autoSpaceDN w:val="0"/>
      <w:adjustRightInd w:val="0"/>
      <w:spacing w:after="0"/>
      <w:ind w:left="-144" w:right="-144"/>
      <w:jc w:val="center"/>
    </w:pPr>
    <w:rPr>
      <w:rFonts w:ascii="Arial" w:hAnsi="Arial" w:cs="Arial"/>
      <w:color w:val="000000"/>
      <w:sz w:val="10"/>
      <w:szCs w:val="9"/>
    </w:rPr>
  </w:style>
  <w:style w:type="paragraph" w:customStyle="1" w:styleId="TAGCBPTitle">
    <w:name w:val="TAG CBP Title"/>
    <w:basedOn w:val="Normal"/>
    <w:rsid w:val="004A0C06"/>
    <w:pPr>
      <w:spacing w:after="0"/>
      <w:jc w:val="right"/>
    </w:pPr>
    <w:rPr>
      <w:rFonts w:ascii="Arial" w:hAnsi="Arial" w:cs="Arial"/>
      <w:b/>
      <w:bCs/>
      <w:color w:val="0000FF"/>
      <w:sz w:val="48"/>
    </w:rPr>
  </w:style>
  <w:style w:type="paragraph" w:customStyle="1" w:styleId="xl24">
    <w:name w:val="xl24"/>
    <w:basedOn w:val="Normal"/>
    <w:rsid w:val="004A0C06"/>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top"/>
    </w:pPr>
    <w:rPr>
      <w:rFonts w:ascii="Arial" w:eastAsia="Arial Unicode MS" w:hAnsi="Arial" w:cs="Arial"/>
      <w:b/>
      <w:bCs/>
      <w:szCs w:val="24"/>
    </w:rPr>
  </w:style>
  <w:style w:type="paragraph" w:customStyle="1" w:styleId="xl25">
    <w:name w:val="xl25"/>
    <w:basedOn w:val="Normal"/>
    <w:link w:val="xl25Char"/>
    <w:rsid w:val="004A0C06"/>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top"/>
    </w:pPr>
    <w:rPr>
      <w:rFonts w:ascii="Arial" w:eastAsia="Arial Unicode MS" w:hAnsi="Arial" w:cs="Arial"/>
      <w:b/>
      <w:bCs/>
      <w:szCs w:val="24"/>
    </w:rPr>
  </w:style>
  <w:style w:type="paragraph" w:customStyle="1" w:styleId="xl26">
    <w:name w:val="xl26"/>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27">
    <w:name w:val="xl27"/>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28">
    <w:name w:val="xl28"/>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29">
    <w:name w:val="xl29"/>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30">
    <w:name w:val="xl30"/>
    <w:basedOn w:val="Normal"/>
    <w:rsid w:val="004A0C06"/>
    <w:pPr>
      <w:pBdr>
        <w:top w:val="single" w:sz="8" w:space="0" w:color="auto"/>
        <w:left w:val="single" w:sz="8" w:space="12" w:color="auto"/>
        <w:bottom w:val="single" w:sz="8" w:space="0" w:color="auto"/>
        <w:right w:val="single" w:sz="8" w:space="0" w:color="auto"/>
      </w:pBdr>
      <w:spacing w:before="100" w:beforeAutospacing="1" w:after="100" w:afterAutospacing="1"/>
      <w:ind w:firstLineChars="100" w:firstLine="100"/>
    </w:pPr>
    <w:rPr>
      <w:rFonts w:ascii="Arial" w:eastAsia="Arial Unicode MS" w:hAnsi="Arial" w:cs="Arial"/>
      <w:szCs w:val="24"/>
    </w:rPr>
  </w:style>
  <w:style w:type="paragraph" w:customStyle="1" w:styleId="xl31">
    <w:name w:val="xl31"/>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Cs w:val="24"/>
    </w:rPr>
  </w:style>
  <w:style w:type="paragraph" w:customStyle="1" w:styleId="xl32">
    <w:name w:val="xl32"/>
    <w:basedOn w:val="Normal"/>
    <w:rsid w:val="004A0C0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p">
    <w:name w:val="p"/>
    <w:basedOn w:val="Normal"/>
    <w:rsid w:val="004A0C06"/>
    <w:pPr>
      <w:spacing w:before="100" w:beforeAutospacing="1" w:after="100" w:afterAutospacing="1"/>
    </w:pPr>
    <w:rPr>
      <w:rFonts w:ascii="Arial Unicode MS" w:eastAsia="Arial Unicode MS" w:hAnsi="Arial Unicode MS" w:cs="Arial Unicode MS"/>
      <w:szCs w:val="24"/>
    </w:rPr>
  </w:style>
  <w:style w:type="paragraph" w:customStyle="1" w:styleId="Subappend">
    <w:name w:val="Sub_append"/>
    <w:basedOn w:val="Normal"/>
    <w:rsid w:val="004A0C06"/>
    <w:pPr>
      <w:keepNext/>
      <w:widowControl w:val="0"/>
      <w:tabs>
        <w:tab w:val="left" w:pos="720"/>
      </w:tabs>
      <w:spacing w:before="120" w:after="60"/>
    </w:pPr>
    <w:rPr>
      <w:rFonts w:ascii="Arial" w:hAnsi="Arial"/>
      <w:b/>
      <w:caps/>
    </w:rPr>
  </w:style>
  <w:style w:type="character" w:customStyle="1" w:styleId="basictext1">
    <w:name w:val="basic_text1"/>
    <w:basedOn w:val="DefaultParagraphFont"/>
    <w:rsid w:val="004A0C06"/>
    <w:rPr>
      <w:rFonts w:ascii="Arial" w:hAnsi="Arial" w:cs="Arial"/>
      <w:color w:val="333333"/>
      <w:sz w:val="20"/>
      <w:szCs w:val="20"/>
    </w:rPr>
  </w:style>
  <w:style w:type="paragraph" w:customStyle="1" w:styleId="BulletListMultipleLast">
    <w:name w:val="Bullet List Multiple Last"/>
    <w:next w:val="Normal"/>
    <w:rsid w:val="004A0C06"/>
    <w:pPr>
      <w:tabs>
        <w:tab w:val="num" w:pos="630"/>
      </w:tabs>
      <w:spacing w:before="80" w:after="280"/>
      <w:ind w:left="630" w:hanging="360"/>
    </w:pPr>
    <w:rPr>
      <w:sz w:val="24"/>
    </w:rPr>
  </w:style>
  <w:style w:type="paragraph" w:customStyle="1" w:styleId="BulletListSingle">
    <w:name w:val="Bullet List Single"/>
    <w:basedOn w:val="Normal"/>
    <w:rsid w:val="004A0C06"/>
    <w:pPr>
      <w:tabs>
        <w:tab w:val="num" w:pos="720"/>
      </w:tabs>
      <w:spacing w:before="120"/>
      <w:ind w:left="720" w:hanging="360"/>
    </w:pPr>
  </w:style>
  <w:style w:type="paragraph" w:customStyle="1" w:styleId="Quotation">
    <w:name w:val="Quotation"/>
    <w:next w:val="Normal"/>
    <w:rsid w:val="004A0C06"/>
    <w:pPr>
      <w:spacing w:before="120" w:after="120"/>
      <w:ind w:left="720" w:right="720"/>
    </w:pPr>
    <w:rPr>
      <w:sz w:val="24"/>
    </w:rPr>
  </w:style>
  <w:style w:type="paragraph" w:customStyle="1" w:styleId="BulletList-SecondLevel">
    <w:name w:val="Bullet List - Second Level"/>
    <w:basedOn w:val="Normal"/>
    <w:rsid w:val="004A0C06"/>
    <w:pPr>
      <w:tabs>
        <w:tab w:val="num" w:pos="720"/>
      </w:tabs>
      <w:spacing w:before="60" w:after="60"/>
      <w:ind w:left="720" w:hanging="360"/>
    </w:pPr>
  </w:style>
  <w:style w:type="paragraph" w:customStyle="1" w:styleId="TableBullet">
    <w:name w:val="TableBullet"/>
    <w:rsid w:val="004A0C06"/>
    <w:pPr>
      <w:tabs>
        <w:tab w:val="left" w:pos="216"/>
        <w:tab w:val="num" w:pos="360"/>
      </w:tabs>
      <w:spacing w:before="20" w:after="20"/>
      <w:ind w:left="288" w:hanging="288"/>
    </w:pPr>
    <w:rPr>
      <w:rFonts w:ascii="Arial" w:hAnsi="Arial"/>
      <w:sz w:val="18"/>
    </w:rPr>
  </w:style>
  <w:style w:type="paragraph" w:customStyle="1" w:styleId="TableCaption">
    <w:name w:val="TableCaption"/>
    <w:aliases w:val="tc"/>
    <w:next w:val="Normal"/>
    <w:rsid w:val="004A0C06"/>
    <w:pPr>
      <w:keepNext/>
      <w:keepLines/>
      <w:spacing w:before="400" w:after="100"/>
      <w:jc w:val="center"/>
      <w:outlineLvl w:val="0"/>
    </w:pPr>
    <w:rPr>
      <w:rFonts w:ascii="Arial Narrow" w:hAnsi="Arial Narrow"/>
      <w:b/>
    </w:rPr>
  </w:style>
  <w:style w:type="paragraph" w:customStyle="1" w:styleId="TableColumnHeading">
    <w:name w:val="TableColumnHeading"/>
    <w:aliases w:val="tch"/>
    <w:next w:val="Normal"/>
    <w:rsid w:val="004A0C06"/>
    <w:pPr>
      <w:spacing w:before="60" w:after="60"/>
      <w:jc w:val="center"/>
    </w:pPr>
    <w:rPr>
      <w:rFonts w:ascii="Arial" w:hAnsi="Arial"/>
      <w:b/>
    </w:rPr>
  </w:style>
  <w:style w:type="paragraph" w:customStyle="1" w:styleId="AcronymTerm">
    <w:name w:val="Acronym Term"/>
    <w:rsid w:val="004A0C06"/>
    <w:pPr>
      <w:spacing w:before="60" w:after="60"/>
    </w:pPr>
    <w:rPr>
      <w:b/>
      <w:sz w:val="24"/>
    </w:rPr>
  </w:style>
  <w:style w:type="paragraph" w:customStyle="1" w:styleId="Tablehead1">
    <w:name w:val="Table head1"/>
    <w:basedOn w:val="Normal"/>
    <w:rsid w:val="004A0C06"/>
    <w:pPr>
      <w:widowControl w:val="0"/>
      <w:spacing w:before="120" w:after="0"/>
    </w:pPr>
    <w:rPr>
      <w:rFonts w:ascii="Arial" w:hAnsi="Arial" w:cs="Arial"/>
      <w:sz w:val="20"/>
    </w:rPr>
  </w:style>
  <w:style w:type="paragraph" w:customStyle="1" w:styleId="TableHeaderText">
    <w:name w:val="Table Header Text"/>
    <w:basedOn w:val="Normal"/>
    <w:link w:val="TableHeaderTextChar"/>
    <w:rsid w:val="004A0C06"/>
    <w:pPr>
      <w:spacing w:before="100" w:after="0"/>
      <w:jc w:val="center"/>
    </w:pPr>
    <w:rPr>
      <w:b/>
    </w:rPr>
  </w:style>
  <w:style w:type="paragraph" w:customStyle="1" w:styleId="Instruction">
    <w:name w:val="Instruction"/>
    <w:basedOn w:val="Normal"/>
    <w:next w:val="BodyText"/>
    <w:rsid w:val="004A0C06"/>
    <w:pPr>
      <w:spacing w:after="0"/>
    </w:pPr>
    <w:rPr>
      <w:rFonts w:ascii="Arial" w:hAnsi="Arial" w:cs="Arial"/>
      <w:i/>
      <w:vanish/>
      <w:color w:val="0000FF"/>
      <w:sz w:val="20"/>
    </w:rPr>
  </w:style>
  <w:style w:type="paragraph" w:styleId="HTMLPreformatted">
    <w:name w:val="HTML Preformatted"/>
    <w:basedOn w:val="Normal"/>
    <w:link w:val="HTMLPreformattedChar"/>
    <w:rsid w:val="004A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locked/>
    <w:rsid w:val="004A0C06"/>
    <w:rPr>
      <w:rFonts w:ascii="Courier New" w:hAnsi="Courier New" w:cs="Courier New"/>
    </w:rPr>
  </w:style>
  <w:style w:type="paragraph" w:customStyle="1" w:styleId="DHSText">
    <w:name w:val="DHS_Text"/>
    <w:rsid w:val="004A0C06"/>
    <w:pPr>
      <w:spacing w:after="240"/>
    </w:pPr>
    <w:rPr>
      <w:rFonts w:ascii="Arial" w:hAnsi="Arial" w:cs="Arial"/>
    </w:rPr>
  </w:style>
  <w:style w:type="paragraph" w:customStyle="1" w:styleId="BODY--PRIME">
    <w:name w:val="BODY--PRIME"/>
    <w:link w:val="BODY--PRIMEChar"/>
    <w:rsid w:val="00E303E8"/>
    <w:pPr>
      <w:spacing w:before="72" w:after="72"/>
    </w:pPr>
    <w:rPr>
      <w:sz w:val="24"/>
    </w:rPr>
  </w:style>
  <w:style w:type="character" w:customStyle="1" w:styleId="BODY--PRIMEChar">
    <w:name w:val="BODY--PRIME Char"/>
    <w:basedOn w:val="DefaultParagraphFont"/>
    <w:link w:val="BODY--PRIME"/>
    <w:locked/>
    <w:rsid w:val="00E303E8"/>
    <w:rPr>
      <w:sz w:val="24"/>
      <w:lang w:val="en-US" w:eastAsia="en-US" w:bidi="ar-SA"/>
    </w:rPr>
  </w:style>
  <w:style w:type="character" w:customStyle="1" w:styleId="xl25Char">
    <w:name w:val="xl25 Char"/>
    <w:basedOn w:val="DefaultParagraphFont"/>
    <w:link w:val="xl25"/>
    <w:locked/>
    <w:rsid w:val="009E54EB"/>
    <w:rPr>
      <w:rFonts w:ascii="Arial" w:eastAsia="Arial Unicode MS" w:hAnsi="Arial" w:cs="Arial"/>
      <w:b/>
      <w:bCs/>
      <w:sz w:val="24"/>
      <w:szCs w:val="24"/>
      <w:shd w:val="clear" w:color="auto" w:fill="339966"/>
    </w:rPr>
  </w:style>
  <w:style w:type="character" w:styleId="SubtleEmphasis">
    <w:name w:val="Subtle Emphasis"/>
    <w:basedOn w:val="DefaultParagraphFont"/>
    <w:qFormat/>
    <w:rsid w:val="00836B95"/>
    <w:rPr>
      <w:rFonts w:cs="Times New Roman"/>
      <w:i/>
      <w:iCs/>
      <w:color w:val="808080"/>
    </w:rPr>
  </w:style>
  <w:style w:type="character" w:customStyle="1" w:styleId="TableHeaderTextChar">
    <w:name w:val="Table Header Text Char"/>
    <w:basedOn w:val="DefaultParagraphFont"/>
    <w:link w:val="TableHeaderText"/>
    <w:locked/>
    <w:rsid w:val="005E0766"/>
    <w:rPr>
      <w:rFonts w:cs="Times New Roman"/>
      <w:b/>
      <w:sz w:val="24"/>
    </w:rPr>
  </w:style>
  <w:style w:type="paragraph" w:styleId="ListParagraph">
    <w:name w:val="List Paragraph"/>
    <w:basedOn w:val="Normal"/>
    <w:link w:val="ListParagraphChar"/>
    <w:uiPriority w:val="34"/>
    <w:qFormat/>
    <w:rsid w:val="00196DC3"/>
    <w:pPr>
      <w:ind w:left="720"/>
    </w:pPr>
  </w:style>
  <w:style w:type="paragraph" w:customStyle="1" w:styleId="TableRow">
    <w:name w:val="Table Row"/>
    <w:basedOn w:val="BodyText"/>
    <w:rsid w:val="00203B80"/>
    <w:pPr>
      <w:keepLines w:val="0"/>
      <w:autoSpaceDE w:val="0"/>
      <w:autoSpaceDN w:val="0"/>
      <w:adjustRightInd w:val="0"/>
      <w:spacing w:before="60" w:after="60"/>
    </w:pPr>
    <w:rPr>
      <w:rFonts w:ascii="Arial" w:hAnsi="Arial" w:cs="Arial"/>
      <w:i w:val="0"/>
      <w:sz w:val="20"/>
    </w:rPr>
  </w:style>
  <w:style w:type="paragraph" w:customStyle="1" w:styleId="TableHeading">
    <w:name w:val="Table Heading"/>
    <w:rsid w:val="00203B80"/>
    <w:pPr>
      <w:keepNext/>
      <w:keepLines/>
      <w:spacing w:before="120"/>
      <w:jc w:val="center"/>
    </w:pPr>
    <w:rPr>
      <w:rFonts w:ascii="Arial" w:hAnsi="Arial"/>
      <w:b/>
      <w:sz w:val="32"/>
    </w:rPr>
  </w:style>
  <w:style w:type="paragraph" w:customStyle="1" w:styleId="TableHeading3">
    <w:name w:val="Table Heading3"/>
    <w:basedOn w:val="TableHeading"/>
    <w:rsid w:val="00203B80"/>
    <w:rPr>
      <w:rFonts w:ascii="Arial Bold" w:hAnsi="Arial Bold"/>
      <w:b w:val="0"/>
      <w:sz w:val="20"/>
    </w:rPr>
  </w:style>
  <w:style w:type="paragraph" w:customStyle="1" w:styleId="TableHeadingb">
    <w:name w:val="Table Headingb"/>
    <w:basedOn w:val="TableHeading"/>
    <w:rsid w:val="00203B80"/>
    <w:rPr>
      <w:rFonts w:ascii="Arial Bold" w:hAnsi="Arial Bold"/>
      <w:sz w:val="28"/>
    </w:rPr>
  </w:style>
  <w:style w:type="paragraph" w:customStyle="1" w:styleId="TableHeadingC">
    <w:name w:val="Table HeadingC"/>
    <w:basedOn w:val="TableHeadingb"/>
    <w:rsid w:val="00203B80"/>
    <w:rPr>
      <w:b w:val="0"/>
      <w:sz w:val="32"/>
      <w:szCs w:val="28"/>
    </w:rPr>
  </w:style>
  <w:style w:type="paragraph" w:customStyle="1" w:styleId="ListNumber6">
    <w:name w:val="List Number6"/>
    <w:basedOn w:val="Normal"/>
    <w:rsid w:val="00203B80"/>
    <w:pPr>
      <w:numPr>
        <w:numId w:val="13"/>
      </w:numPr>
      <w:spacing w:before="60" w:after="60"/>
    </w:pPr>
    <w:rPr>
      <w:rFonts w:ascii="Arial" w:hAnsi="Arial"/>
      <w:sz w:val="20"/>
      <w:szCs w:val="24"/>
    </w:rPr>
  </w:style>
  <w:style w:type="paragraph" w:customStyle="1" w:styleId="ListNumber1">
    <w:name w:val="List Number1"/>
    <w:basedOn w:val="Normal"/>
    <w:rsid w:val="00203B80"/>
    <w:pPr>
      <w:numPr>
        <w:numId w:val="11"/>
      </w:numPr>
      <w:spacing w:before="60" w:after="60"/>
    </w:pPr>
    <w:rPr>
      <w:rFonts w:ascii="Arial" w:hAnsi="Arial"/>
      <w:sz w:val="20"/>
      <w:szCs w:val="24"/>
    </w:rPr>
  </w:style>
  <w:style w:type="paragraph" w:customStyle="1" w:styleId="ListNumber7">
    <w:name w:val="List Number7"/>
    <w:basedOn w:val="ListNumber6"/>
    <w:rsid w:val="00203B80"/>
    <w:pPr>
      <w:numPr>
        <w:numId w:val="14"/>
      </w:numPr>
      <w:tabs>
        <w:tab w:val="num" w:pos="720"/>
      </w:tabs>
      <w:ind w:left="720"/>
    </w:pPr>
  </w:style>
  <w:style w:type="paragraph" w:customStyle="1" w:styleId="ListNumber8">
    <w:name w:val="List Number8"/>
    <w:basedOn w:val="ListNumber7"/>
    <w:rsid w:val="00203B80"/>
    <w:pPr>
      <w:numPr>
        <w:numId w:val="15"/>
      </w:numPr>
      <w:ind w:left="360"/>
    </w:pPr>
  </w:style>
  <w:style w:type="paragraph" w:customStyle="1" w:styleId="ListNumber9">
    <w:name w:val="List Number9"/>
    <w:basedOn w:val="ListNumber8"/>
    <w:rsid w:val="00203B80"/>
    <w:pPr>
      <w:numPr>
        <w:numId w:val="12"/>
      </w:numPr>
    </w:pPr>
  </w:style>
  <w:style w:type="character" w:styleId="Emphasis">
    <w:name w:val="Emphasis"/>
    <w:basedOn w:val="DefaultParagraphFont"/>
    <w:qFormat/>
    <w:rsid w:val="00D64ADB"/>
    <w:rPr>
      <w:rFonts w:cs="Times New Roman"/>
      <w:i/>
      <w:iCs/>
    </w:rPr>
  </w:style>
  <w:style w:type="paragraph" w:styleId="BodyText2">
    <w:name w:val="Body Text 2"/>
    <w:basedOn w:val="Normal"/>
    <w:link w:val="BodyText2Char"/>
    <w:rsid w:val="00031F28"/>
    <w:pPr>
      <w:spacing w:line="480" w:lineRule="auto"/>
    </w:pPr>
  </w:style>
  <w:style w:type="character" w:customStyle="1" w:styleId="BodyText2Char">
    <w:name w:val="Body Text 2 Char"/>
    <w:basedOn w:val="DefaultParagraphFont"/>
    <w:link w:val="BodyText2"/>
    <w:rsid w:val="00031F28"/>
    <w:rPr>
      <w:sz w:val="24"/>
    </w:rPr>
  </w:style>
  <w:style w:type="paragraph" w:customStyle="1" w:styleId="bodytextx22">
    <w:name w:val="body text x22"/>
    <w:basedOn w:val="Normal"/>
    <w:rsid w:val="007C60F3"/>
    <w:pPr>
      <w:pBdr>
        <w:top w:val="single" w:sz="4" w:space="1" w:color="auto"/>
      </w:pBdr>
      <w:jc w:val="both"/>
    </w:pPr>
  </w:style>
  <w:style w:type="paragraph" w:styleId="EndnoteText">
    <w:name w:val="endnote text"/>
    <w:basedOn w:val="Normal"/>
    <w:link w:val="EndnoteTextChar"/>
    <w:uiPriority w:val="99"/>
    <w:unhideWhenUsed/>
    <w:rsid w:val="007C60F3"/>
    <w:pPr>
      <w:spacing w:after="0"/>
    </w:pPr>
    <w:rPr>
      <w:rFonts w:eastAsia="Calibri"/>
      <w:sz w:val="20"/>
    </w:rPr>
  </w:style>
  <w:style w:type="character" w:customStyle="1" w:styleId="EndnoteTextChar">
    <w:name w:val="Endnote Text Char"/>
    <w:basedOn w:val="DefaultParagraphFont"/>
    <w:link w:val="EndnoteText"/>
    <w:uiPriority w:val="99"/>
    <w:rsid w:val="007C60F3"/>
    <w:rPr>
      <w:rFonts w:eastAsia="Calibri"/>
    </w:rPr>
  </w:style>
  <w:style w:type="character" w:styleId="EndnoteReference">
    <w:name w:val="endnote reference"/>
    <w:basedOn w:val="DefaultParagraphFont"/>
    <w:uiPriority w:val="99"/>
    <w:unhideWhenUsed/>
    <w:rsid w:val="007C60F3"/>
    <w:rPr>
      <w:vertAlign w:val="superscript"/>
    </w:rPr>
  </w:style>
  <w:style w:type="paragraph" w:styleId="ListContinue2">
    <w:name w:val="List Continue 2"/>
    <w:basedOn w:val="Normal"/>
    <w:rsid w:val="00AE5A37"/>
    <w:pPr>
      <w:ind w:left="720"/>
      <w:contextualSpacing/>
    </w:pPr>
  </w:style>
  <w:style w:type="paragraph" w:customStyle="1" w:styleId="Char2">
    <w:name w:val="Char2"/>
    <w:basedOn w:val="Normal"/>
    <w:rsid w:val="00AE5A37"/>
    <w:pPr>
      <w:spacing w:after="160" w:line="240" w:lineRule="exact"/>
    </w:pPr>
    <w:rPr>
      <w:szCs w:val="24"/>
    </w:rPr>
  </w:style>
  <w:style w:type="paragraph" w:customStyle="1" w:styleId="DHS-DeliverableType">
    <w:name w:val="DHS - Deliverable Type"/>
    <w:basedOn w:val="Normal"/>
    <w:qFormat/>
    <w:rsid w:val="00961FAE"/>
    <w:pPr>
      <w:spacing w:after="0"/>
      <w:jc w:val="center"/>
    </w:pPr>
    <w:rPr>
      <w:rFonts w:ascii="Garamond" w:hAnsi="Garamond"/>
      <w:color w:val="632423"/>
      <w:sz w:val="44"/>
      <w:szCs w:val="44"/>
    </w:rPr>
  </w:style>
  <w:style w:type="paragraph" w:customStyle="1" w:styleId="DHS-Emphasis">
    <w:name w:val="DHS - Emphasis"/>
    <w:basedOn w:val="Normal"/>
    <w:qFormat/>
    <w:rsid w:val="00961FAE"/>
    <w:pPr>
      <w:spacing w:after="0"/>
      <w:jc w:val="center"/>
    </w:pPr>
    <w:rPr>
      <w:rFonts w:ascii="Garamond" w:hAnsi="Garamond"/>
      <w:b/>
      <w:bCs/>
      <w:color w:val="244061"/>
    </w:rPr>
  </w:style>
  <w:style w:type="paragraph" w:customStyle="1" w:styleId="DHS-ProjectName">
    <w:name w:val="DHS - Project Name"/>
    <w:basedOn w:val="Normal"/>
    <w:qFormat/>
    <w:rsid w:val="00961FAE"/>
    <w:pPr>
      <w:spacing w:after="0"/>
      <w:jc w:val="center"/>
    </w:pPr>
    <w:rPr>
      <w:rFonts w:ascii="Garamond" w:hAnsi="Garamond"/>
      <w:color w:val="0F243E"/>
      <w:sz w:val="80"/>
      <w:szCs w:val="80"/>
    </w:rPr>
  </w:style>
  <w:style w:type="character" w:styleId="PlaceholderText">
    <w:name w:val="Placeholder Text"/>
    <w:basedOn w:val="DefaultParagraphFont"/>
    <w:uiPriority w:val="99"/>
    <w:semiHidden/>
    <w:rsid w:val="00961FAE"/>
    <w:rPr>
      <w:color w:val="808080"/>
    </w:rPr>
  </w:style>
  <w:style w:type="paragraph" w:customStyle="1" w:styleId="DHS-Normal">
    <w:name w:val="DHS - Normal"/>
    <w:basedOn w:val="Normal"/>
    <w:qFormat/>
    <w:rsid w:val="00807C2C"/>
    <w:pPr>
      <w:spacing w:before="120"/>
    </w:pPr>
    <w:rPr>
      <w:rFonts w:ascii="Arial" w:hAnsi="Arial" w:cs="Arial"/>
      <w:color w:val="000000"/>
      <w:sz w:val="20"/>
    </w:rPr>
  </w:style>
  <w:style w:type="paragraph" w:customStyle="1" w:styleId="DHS-TableRow">
    <w:name w:val="DHS - Table Row"/>
    <w:basedOn w:val="Normal"/>
    <w:qFormat/>
    <w:rsid w:val="00807C2C"/>
    <w:pPr>
      <w:spacing w:after="0"/>
    </w:pPr>
    <w:rPr>
      <w:rFonts w:ascii="Garamond" w:hAnsi="Garamond"/>
      <w:b/>
      <w:color w:val="FFFFFF"/>
    </w:rPr>
  </w:style>
  <w:style w:type="character" w:customStyle="1" w:styleId="FootnoteTextChar">
    <w:name w:val="Footnote Text Char"/>
    <w:basedOn w:val="DefaultParagraphFont"/>
    <w:link w:val="FootnoteText"/>
    <w:uiPriority w:val="99"/>
    <w:semiHidden/>
    <w:rsid w:val="006E70FE"/>
  </w:style>
  <w:style w:type="character" w:customStyle="1" w:styleId="body5">
    <w:name w:val="body5"/>
    <w:basedOn w:val="DefaultParagraphFont"/>
    <w:rsid w:val="006E70FE"/>
    <w:rPr>
      <w:rFonts w:ascii="Verdana" w:hAnsi="Verdana" w:hint="default"/>
      <w:color w:val="000000"/>
      <w:sz w:val="17"/>
      <w:szCs w:val="17"/>
    </w:rPr>
  </w:style>
  <w:style w:type="character" w:customStyle="1" w:styleId="ListParagraphChar">
    <w:name w:val="List Paragraph Char"/>
    <w:basedOn w:val="DefaultParagraphFont"/>
    <w:link w:val="ListParagraph"/>
    <w:uiPriority w:val="34"/>
    <w:locked/>
    <w:rsid w:val="00BC6FCE"/>
    <w:rPr>
      <w:sz w:val="24"/>
    </w:rPr>
  </w:style>
  <w:style w:type="character" w:customStyle="1" w:styleId="text261">
    <w:name w:val="text_261"/>
    <w:basedOn w:val="DefaultParagraphFont"/>
    <w:rsid w:val="0095548C"/>
    <w:rPr>
      <w:rFonts w:ascii="Arial" w:hAnsi="Arial" w:cs="Arial" w:hint="default"/>
      <w:color w:val="666666"/>
      <w:sz w:val="24"/>
      <w:szCs w:val="24"/>
    </w:rPr>
  </w:style>
  <w:style w:type="character" w:customStyle="1" w:styleId="A0">
    <w:name w:val="A0"/>
    <w:uiPriority w:val="99"/>
    <w:rsid w:val="0095548C"/>
    <w:rPr>
      <w:rFonts w:cs="Akzidenz Grotesk BE Light"/>
      <w:color w:val="000000"/>
      <w:sz w:val="18"/>
      <w:szCs w:val="18"/>
    </w:rPr>
  </w:style>
  <w:style w:type="character" w:customStyle="1" w:styleId="CommentTextChar">
    <w:name w:val="Comment Text Char"/>
    <w:basedOn w:val="DefaultParagraphFont"/>
    <w:link w:val="CommentText"/>
    <w:uiPriority w:val="99"/>
    <w:semiHidden/>
    <w:rsid w:val="00581FCC"/>
    <w:rPr>
      <w:sz w:val="24"/>
    </w:rPr>
  </w:style>
  <w:style w:type="paragraph" w:customStyle="1" w:styleId="CM10">
    <w:name w:val="CM10"/>
    <w:basedOn w:val="Default"/>
    <w:next w:val="Default"/>
    <w:uiPriority w:val="99"/>
    <w:rsid w:val="00F4748A"/>
    <w:rPr>
      <w:rFonts w:ascii="Times New Roman" w:hAnsi="Times New Roman" w:cs="Times New Roman"/>
      <w:color w:val="auto"/>
    </w:rPr>
  </w:style>
  <w:style w:type="paragraph" w:customStyle="1" w:styleId="CM4">
    <w:name w:val="CM4"/>
    <w:basedOn w:val="Default"/>
    <w:next w:val="Default"/>
    <w:uiPriority w:val="99"/>
    <w:rsid w:val="00F4748A"/>
    <w:pPr>
      <w:spacing w:line="276" w:lineRule="atLeast"/>
    </w:pPr>
    <w:rPr>
      <w:rFonts w:ascii="Times New Roman" w:hAnsi="Times New Roman" w:cs="Times New Roman"/>
      <w:color w:val="auto"/>
    </w:rPr>
  </w:style>
  <w:style w:type="paragraph" w:customStyle="1" w:styleId="CM5">
    <w:name w:val="CM5"/>
    <w:basedOn w:val="Default"/>
    <w:next w:val="Default"/>
    <w:uiPriority w:val="99"/>
    <w:rsid w:val="00F4748A"/>
    <w:pPr>
      <w:spacing w:line="278" w:lineRule="atLeast"/>
    </w:pPr>
    <w:rPr>
      <w:rFonts w:ascii="Times New Roman" w:hAnsi="Times New Roman" w:cs="Times New Roman"/>
      <w:color w:val="auto"/>
    </w:rPr>
  </w:style>
  <w:style w:type="paragraph" w:customStyle="1" w:styleId="CM9">
    <w:name w:val="CM9"/>
    <w:basedOn w:val="Default"/>
    <w:next w:val="Default"/>
    <w:uiPriority w:val="99"/>
    <w:rsid w:val="00F4748A"/>
    <w:rPr>
      <w:rFonts w:ascii="Times New Roman" w:hAnsi="Times New Roman" w:cs="Times New Roman"/>
      <w:color w:val="auto"/>
    </w:rPr>
  </w:style>
  <w:style w:type="paragraph" w:styleId="Revision">
    <w:name w:val="Revision"/>
    <w:hidden/>
    <w:uiPriority w:val="99"/>
    <w:semiHidden/>
    <w:rsid w:val="001966AA"/>
    <w:rPr>
      <w:sz w:val="24"/>
    </w:rPr>
  </w:style>
  <w:style w:type="paragraph" w:customStyle="1" w:styleId="Text">
    <w:name w:val="Text"/>
    <w:aliases w:val="t,text"/>
    <w:link w:val="TextChar"/>
    <w:rsid w:val="00857BD0"/>
    <w:pPr>
      <w:spacing w:before="60" w:after="60"/>
    </w:pPr>
    <w:rPr>
      <w:rFonts w:ascii="Arial" w:hAnsi="Arial"/>
      <w:color w:val="000000"/>
    </w:rPr>
  </w:style>
  <w:style w:type="paragraph" w:customStyle="1" w:styleId="NumberedList2">
    <w:name w:val="Numbered List 2"/>
    <w:aliases w:val="nl2"/>
    <w:rsid w:val="00857BD0"/>
    <w:pPr>
      <w:numPr>
        <w:numId w:val="17"/>
      </w:numPr>
      <w:spacing w:before="60" w:after="60" w:line="220" w:lineRule="exact"/>
    </w:pPr>
    <w:rPr>
      <w:rFonts w:ascii="Arial" w:hAnsi="Arial"/>
      <w:color w:val="000000"/>
    </w:rPr>
  </w:style>
  <w:style w:type="paragraph" w:customStyle="1" w:styleId="BulletedList1">
    <w:name w:val="Bulleted List 1"/>
    <w:aliases w:val="bl1"/>
    <w:link w:val="BulletedList1Char"/>
    <w:rsid w:val="00857BD0"/>
    <w:pPr>
      <w:numPr>
        <w:numId w:val="16"/>
      </w:numPr>
      <w:spacing w:before="60" w:after="60" w:line="220" w:lineRule="exact"/>
    </w:pPr>
    <w:rPr>
      <w:rFonts w:ascii="Arial" w:hAnsi="Arial"/>
      <w:color w:val="000000"/>
    </w:rPr>
  </w:style>
  <w:style w:type="character" w:customStyle="1" w:styleId="TextChar">
    <w:name w:val="Text Char"/>
    <w:aliases w:val="t Char"/>
    <w:basedOn w:val="DefaultParagraphFont"/>
    <w:link w:val="Text"/>
    <w:rsid w:val="00857BD0"/>
    <w:rPr>
      <w:rFonts w:ascii="Arial" w:hAnsi="Arial"/>
      <w:color w:val="000000"/>
    </w:rPr>
  </w:style>
  <w:style w:type="character" w:customStyle="1" w:styleId="BulletedList1Char">
    <w:name w:val="Bulleted List 1 Char"/>
    <w:aliases w:val="bl1 Char"/>
    <w:basedOn w:val="DefaultParagraphFont"/>
    <w:link w:val="BulletedList1"/>
    <w:locked/>
    <w:rsid w:val="00857BD0"/>
    <w:rPr>
      <w:rFonts w:ascii="Arial" w:hAnsi="Arial"/>
      <w:color w:val="000000"/>
    </w:rPr>
  </w:style>
  <w:style w:type="paragraph" w:customStyle="1" w:styleId="BulletedList2">
    <w:name w:val="Bulleted List 2"/>
    <w:aliases w:val="bl2"/>
    <w:rsid w:val="00FD386A"/>
    <w:pPr>
      <w:numPr>
        <w:numId w:val="18"/>
      </w:numPr>
      <w:spacing w:before="60" w:after="60" w:line="220" w:lineRule="exact"/>
    </w:pPr>
    <w:rPr>
      <w:rFonts w:ascii="Arial" w:hAnsi="Arial"/>
      <w:color w:val="000000"/>
    </w:rPr>
  </w:style>
  <w:style w:type="character" w:customStyle="1" w:styleId="Bold">
    <w:name w:val="Bold"/>
    <w:aliases w:val="b"/>
    <w:basedOn w:val="DefaultParagraphFont"/>
    <w:rsid w:val="00FD386A"/>
    <w:rPr>
      <w:b/>
    </w:rPr>
  </w:style>
  <w:style w:type="paragraph" w:styleId="TOCHeading">
    <w:name w:val="TOC Heading"/>
    <w:basedOn w:val="Heading1"/>
    <w:next w:val="Normal"/>
    <w:uiPriority w:val="39"/>
    <w:unhideWhenUsed/>
    <w:qFormat/>
    <w:rsid w:val="005A1AFD"/>
    <w:pPr>
      <w:numPr>
        <w:numId w:val="0"/>
      </w:numPr>
      <w:tabs>
        <w:tab w:val="clear" w:pos="720"/>
        <w:tab w:val="clear" w:pos="1440"/>
        <w:tab w:val="clear" w:pos="2160"/>
        <w:tab w:val="clear" w:pos="8640"/>
      </w:tab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TableParagraph">
    <w:name w:val="Table Paragraph"/>
    <w:basedOn w:val="Normal"/>
    <w:uiPriority w:val="1"/>
    <w:qFormat/>
    <w:rsid w:val="00487D74"/>
    <w:pPr>
      <w:widowControl w:val="0"/>
      <w:spacing w:after="0"/>
    </w:pPr>
    <w:rPr>
      <w:rFonts w:asciiTheme="minorHAnsi" w:eastAsiaTheme="minorHAnsi" w:hAnsiTheme="minorHAnsi" w:cstheme="minorBidi"/>
      <w:sz w:val="22"/>
      <w:szCs w:val="22"/>
    </w:rPr>
  </w:style>
  <w:style w:type="paragraph" w:customStyle="1" w:styleId="H4">
    <w:name w:val="H4"/>
    <w:basedOn w:val="Normal"/>
    <w:next w:val="Normal"/>
    <w:rsid w:val="00F71ACB"/>
    <w:pPr>
      <w:widowControl w:val="0"/>
      <w:tabs>
        <w:tab w:val="num" w:pos="720"/>
      </w:tabs>
      <w:autoSpaceDE w:val="0"/>
      <w:autoSpaceDN w:val="0"/>
      <w:adjustRightInd w:val="0"/>
      <w:spacing w:after="0"/>
      <w:ind w:left="2160"/>
      <w:outlineLvl w:val="3"/>
    </w:pPr>
    <w:rPr>
      <w:rFonts w:ascii="Arial" w:hAnsi="Arial"/>
      <w:szCs w:val="24"/>
    </w:rPr>
  </w:style>
  <w:style w:type="paragraph" w:customStyle="1" w:styleId="H5">
    <w:name w:val="H5"/>
    <w:basedOn w:val="Normal"/>
    <w:next w:val="Normal"/>
    <w:rsid w:val="00F71ACB"/>
    <w:pPr>
      <w:widowControl w:val="0"/>
      <w:tabs>
        <w:tab w:val="num" w:pos="720"/>
      </w:tabs>
      <w:autoSpaceDE w:val="0"/>
      <w:autoSpaceDN w:val="0"/>
      <w:adjustRightInd w:val="0"/>
      <w:spacing w:after="0"/>
      <w:ind w:left="2880"/>
      <w:outlineLvl w:val="4"/>
    </w:pPr>
    <w:rPr>
      <w:rFonts w:ascii="Arial" w:hAnsi="Arial"/>
      <w:szCs w:val="24"/>
    </w:rPr>
  </w:style>
  <w:style w:type="character" w:customStyle="1" w:styleId="Heading3Char">
    <w:name w:val="Heading 3 Char"/>
    <w:aliases w:val="h3 Char,L3 Char,3 bullet Char,2 Char,H3 Char,head3hdbk Char"/>
    <w:link w:val="Heading3"/>
    <w:uiPriority w:val="1"/>
    <w:rsid w:val="00F71ACB"/>
    <w:rPr>
      <w:b/>
      <w:sz w:val="24"/>
    </w:rPr>
  </w:style>
  <w:style w:type="paragraph" w:customStyle="1" w:styleId="Pa9">
    <w:name w:val="Pa9"/>
    <w:basedOn w:val="Default"/>
    <w:next w:val="Default"/>
    <w:uiPriority w:val="99"/>
    <w:rsid w:val="00E44275"/>
    <w:pPr>
      <w:spacing w:line="221" w:lineRule="atLeast"/>
    </w:pPr>
    <w:rPr>
      <w:rFonts w:ascii="Myriad Pro" w:hAnsi="Myriad Pro" w:cs="Times New Roman"/>
      <w:color w:val="auto"/>
    </w:rPr>
  </w:style>
  <w:style w:type="paragraph" w:customStyle="1" w:styleId="Pa13">
    <w:name w:val="Pa13"/>
    <w:basedOn w:val="Default"/>
    <w:next w:val="Default"/>
    <w:uiPriority w:val="99"/>
    <w:rsid w:val="00E44275"/>
    <w:pPr>
      <w:spacing w:line="221" w:lineRule="atLeast"/>
    </w:pPr>
    <w:rPr>
      <w:rFonts w:ascii="Myriad Pro" w:hAnsi="Myriad Pro" w:cs="Times New Roman"/>
      <w:color w:val="auto"/>
    </w:rPr>
  </w:style>
  <w:style w:type="character" w:customStyle="1" w:styleId="A10">
    <w:name w:val="A10"/>
    <w:uiPriority w:val="99"/>
    <w:rsid w:val="00E44275"/>
    <w:rPr>
      <w:rFonts w:cs="Myriad Pro"/>
      <w:color w:val="000000"/>
    </w:rPr>
  </w:style>
  <w:style w:type="paragraph" w:customStyle="1" w:styleId="Reference">
    <w:name w:val="Reference"/>
    <w:qFormat/>
    <w:rsid w:val="00236B7C"/>
    <w:pPr>
      <w:numPr>
        <w:numId w:val="21"/>
      </w:numPr>
      <w:tabs>
        <w:tab w:val="left" w:pos="360"/>
      </w:tabs>
      <w:spacing w:before="80" w:after="100"/>
      <w:ind w:left="360"/>
    </w:pPr>
    <w:rPr>
      <w:bCs/>
      <w:kern w:val="32"/>
      <w:sz w:val="24"/>
      <w:szCs w:val="32"/>
    </w:rPr>
  </w:style>
  <w:style w:type="paragraph" w:customStyle="1" w:styleId="Bulletmultiple">
    <w:name w:val="Bullet multiple"/>
    <w:basedOn w:val="Normal"/>
    <w:link w:val="BulletmultipleChar"/>
    <w:qFormat/>
    <w:rsid w:val="00236B7C"/>
    <w:pPr>
      <w:numPr>
        <w:numId w:val="22"/>
      </w:numPr>
      <w:tabs>
        <w:tab w:val="left" w:pos="720"/>
      </w:tabs>
    </w:pPr>
    <w:rPr>
      <w:szCs w:val="24"/>
    </w:rPr>
  </w:style>
  <w:style w:type="character" w:customStyle="1" w:styleId="BulletmultipleChar">
    <w:name w:val="Bullet multiple Char"/>
    <w:basedOn w:val="DefaultParagraphFont"/>
    <w:link w:val="Bulletmultiple"/>
    <w:rsid w:val="00236B7C"/>
    <w:rPr>
      <w:sz w:val="24"/>
      <w:szCs w:val="24"/>
    </w:rPr>
  </w:style>
  <w:style w:type="character" w:customStyle="1" w:styleId="CommentSubjectChar">
    <w:name w:val="Comment Subject Char"/>
    <w:basedOn w:val="CommentTextChar"/>
    <w:link w:val="CommentSubject"/>
    <w:uiPriority w:val="99"/>
    <w:semiHidden/>
    <w:rsid w:val="00FD1984"/>
    <w:rPr>
      <w:b/>
      <w:bCs/>
      <w:sz w:val="24"/>
    </w:rPr>
  </w:style>
  <w:style w:type="paragraph" w:customStyle="1" w:styleId="CM28">
    <w:name w:val="CM28"/>
    <w:basedOn w:val="Default"/>
    <w:next w:val="Default"/>
    <w:uiPriority w:val="99"/>
    <w:rsid w:val="00146F5E"/>
    <w:rPr>
      <w:rFonts w:ascii="Times New Roman" w:hAnsi="Times New Roman" w:cs="Times New Roman"/>
      <w:color w:val="auto"/>
    </w:rPr>
  </w:style>
  <w:style w:type="table" w:styleId="LightShading-Accent1">
    <w:name w:val="Light Shading Accent 1"/>
    <w:basedOn w:val="TableNormal"/>
    <w:uiPriority w:val="60"/>
    <w:rsid w:val="00EE57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CF1244"/>
    <w:rPr>
      <w:rFonts w:ascii="Helvetica" w:hAnsi="Helvetica"/>
      <w:sz w:val="16"/>
    </w:rPr>
  </w:style>
  <w:style w:type="character" w:customStyle="1" w:styleId="FooterChar">
    <w:name w:val="Footer Char"/>
    <w:aliases w:val="f1 Char"/>
    <w:basedOn w:val="DefaultParagraphFont"/>
    <w:link w:val="Footer"/>
    <w:uiPriority w:val="99"/>
    <w:rsid w:val="00661E07"/>
    <w:rPr>
      <w:sz w:val="16"/>
    </w:rPr>
  </w:style>
  <w:style w:type="character" w:customStyle="1" w:styleId="reference-text">
    <w:name w:val="reference-text"/>
    <w:basedOn w:val="DefaultParagraphFont"/>
    <w:rsid w:val="00CA1E0F"/>
  </w:style>
  <w:style w:type="paragraph" w:styleId="Subtitle">
    <w:name w:val="Subtitle"/>
    <w:basedOn w:val="Normal"/>
    <w:next w:val="Normal"/>
    <w:link w:val="SubtitleChar"/>
    <w:uiPriority w:val="11"/>
    <w:qFormat/>
    <w:locked/>
    <w:rsid w:val="00623C2E"/>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623C2E"/>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446"/>
          <w:marRight w:val="0"/>
          <w:marTop w:val="120"/>
          <w:marBottom w:val="0"/>
          <w:divBdr>
            <w:top w:val="none" w:sz="0" w:space="0" w:color="auto"/>
            <w:left w:val="none" w:sz="0" w:space="0" w:color="auto"/>
            <w:bottom w:val="none" w:sz="0" w:space="0" w:color="auto"/>
            <w:right w:val="none" w:sz="0" w:space="0" w:color="auto"/>
          </w:divBdr>
        </w:div>
        <w:div w:id="6">
          <w:marLeft w:val="1166"/>
          <w:marRight w:val="0"/>
          <w:marTop w:val="96"/>
          <w:marBottom w:val="0"/>
          <w:divBdr>
            <w:top w:val="none" w:sz="0" w:space="0" w:color="auto"/>
            <w:left w:val="none" w:sz="0" w:space="0" w:color="auto"/>
            <w:bottom w:val="none" w:sz="0" w:space="0" w:color="auto"/>
            <w:right w:val="none" w:sz="0" w:space="0" w:color="auto"/>
          </w:divBdr>
        </w:div>
        <w:div w:id="18">
          <w:marLeft w:val="1166"/>
          <w:marRight w:val="0"/>
          <w:marTop w:val="96"/>
          <w:marBottom w:val="0"/>
          <w:divBdr>
            <w:top w:val="none" w:sz="0" w:space="0" w:color="auto"/>
            <w:left w:val="none" w:sz="0" w:space="0" w:color="auto"/>
            <w:bottom w:val="none" w:sz="0" w:space="0" w:color="auto"/>
            <w:right w:val="none" w:sz="0" w:space="0" w:color="auto"/>
          </w:divBdr>
        </w:div>
        <w:div w:id="22">
          <w:marLeft w:val="446"/>
          <w:marRight w:val="0"/>
          <w:marTop w:val="120"/>
          <w:marBottom w:val="0"/>
          <w:divBdr>
            <w:top w:val="none" w:sz="0" w:space="0" w:color="auto"/>
            <w:left w:val="none" w:sz="0" w:space="0" w:color="auto"/>
            <w:bottom w:val="none" w:sz="0" w:space="0" w:color="auto"/>
            <w:right w:val="none" w:sz="0" w:space="0" w:color="auto"/>
          </w:divBdr>
        </w:div>
        <w:div w:id="26">
          <w:marLeft w:val="446"/>
          <w:marRight w:val="0"/>
          <w:marTop w:val="120"/>
          <w:marBottom w:val="0"/>
          <w:divBdr>
            <w:top w:val="none" w:sz="0" w:space="0" w:color="auto"/>
            <w:left w:val="none" w:sz="0" w:space="0" w:color="auto"/>
            <w:bottom w:val="none" w:sz="0" w:space="0" w:color="auto"/>
            <w:right w:val="none" w:sz="0" w:space="0" w:color="auto"/>
          </w:divBdr>
        </w:div>
        <w:div w:id="31">
          <w:marLeft w:val="446"/>
          <w:marRight w:val="0"/>
          <w:marTop w:val="120"/>
          <w:marBottom w:val="0"/>
          <w:divBdr>
            <w:top w:val="none" w:sz="0" w:space="0" w:color="auto"/>
            <w:left w:val="none" w:sz="0" w:space="0" w:color="auto"/>
            <w:bottom w:val="none" w:sz="0" w:space="0" w:color="auto"/>
            <w:right w:val="none" w:sz="0" w:space="0" w:color="auto"/>
          </w:divBdr>
        </w:div>
        <w:div w:id="32">
          <w:marLeft w:val="446"/>
          <w:marRight w:val="0"/>
          <w:marTop w:val="120"/>
          <w:marBottom w:val="0"/>
          <w:divBdr>
            <w:top w:val="none" w:sz="0" w:space="0" w:color="auto"/>
            <w:left w:val="none" w:sz="0" w:space="0" w:color="auto"/>
            <w:bottom w:val="none" w:sz="0" w:space="0" w:color="auto"/>
            <w:right w:val="none" w:sz="0" w:space="0" w:color="auto"/>
          </w:divBdr>
        </w:div>
        <w:div w:id="36">
          <w:marLeft w:val="1166"/>
          <w:marRight w:val="0"/>
          <w:marTop w:val="96"/>
          <w:marBottom w:val="0"/>
          <w:divBdr>
            <w:top w:val="none" w:sz="0" w:space="0" w:color="auto"/>
            <w:left w:val="none" w:sz="0" w:space="0" w:color="auto"/>
            <w:bottom w:val="none" w:sz="0" w:space="0" w:color="auto"/>
            <w:right w:val="none" w:sz="0" w:space="0" w:color="auto"/>
          </w:divBdr>
        </w:div>
        <w:div w:id="45">
          <w:marLeft w:val="446"/>
          <w:marRight w:val="0"/>
          <w:marTop w:val="120"/>
          <w:marBottom w:val="0"/>
          <w:divBdr>
            <w:top w:val="none" w:sz="0" w:space="0" w:color="auto"/>
            <w:left w:val="none" w:sz="0" w:space="0" w:color="auto"/>
            <w:bottom w:val="none" w:sz="0" w:space="0" w:color="auto"/>
            <w:right w:val="none" w:sz="0" w:space="0" w:color="auto"/>
          </w:divBdr>
        </w:div>
        <w:div w:id="49">
          <w:marLeft w:val="446"/>
          <w:marRight w:val="0"/>
          <w:marTop w:val="120"/>
          <w:marBottom w:val="0"/>
          <w:divBdr>
            <w:top w:val="none" w:sz="0" w:space="0" w:color="auto"/>
            <w:left w:val="none" w:sz="0" w:space="0" w:color="auto"/>
            <w:bottom w:val="none" w:sz="0" w:space="0" w:color="auto"/>
            <w:right w:val="none" w:sz="0" w:space="0" w:color="auto"/>
          </w:divBdr>
        </w:div>
        <w:div w:id="50">
          <w:marLeft w:val="1166"/>
          <w:marRight w:val="0"/>
          <w:marTop w:val="96"/>
          <w:marBottom w:val="0"/>
          <w:divBdr>
            <w:top w:val="none" w:sz="0" w:space="0" w:color="auto"/>
            <w:left w:val="none" w:sz="0" w:space="0" w:color="auto"/>
            <w:bottom w:val="none" w:sz="0" w:space="0" w:color="auto"/>
            <w:right w:val="none" w:sz="0" w:space="0" w:color="auto"/>
          </w:divBdr>
        </w:div>
        <w:div w:id="56">
          <w:marLeft w:val="1166"/>
          <w:marRight w:val="0"/>
          <w:marTop w:val="96"/>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96"/>
          <w:marBottom w:val="0"/>
          <w:divBdr>
            <w:top w:val="none" w:sz="0" w:space="0" w:color="auto"/>
            <w:left w:val="none" w:sz="0" w:space="0" w:color="auto"/>
            <w:bottom w:val="none" w:sz="0" w:space="0" w:color="auto"/>
            <w:right w:val="none" w:sz="0" w:space="0" w:color="auto"/>
          </w:divBdr>
        </w:div>
        <w:div w:id="3">
          <w:marLeft w:val="1166"/>
          <w:marRight w:val="0"/>
          <w:marTop w:val="96"/>
          <w:marBottom w:val="0"/>
          <w:divBdr>
            <w:top w:val="none" w:sz="0" w:space="0" w:color="auto"/>
            <w:left w:val="none" w:sz="0" w:space="0" w:color="auto"/>
            <w:bottom w:val="none" w:sz="0" w:space="0" w:color="auto"/>
            <w:right w:val="none" w:sz="0" w:space="0" w:color="auto"/>
          </w:divBdr>
        </w:div>
        <w:div w:id="7">
          <w:marLeft w:val="1166"/>
          <w:marRight w:val="0"/>
          <w:marTop w:val="96"/>
          <w:marBottom w:val="0"/>
          <w:divBdr>
            <w:top w:val="none" w:sz="0" w:space="0" w:color="auto"/>
            <w:left w:val="none" w:sz="0" w:space="0" w:color="auto"/>
            <w:bottom w:val="none" w:sz="0" w:space="0" w:color="auto"/>
            <w:right w:val="none" w:sz="0" w:space="0" w:color="auto"/>
          </w:divBdr>
        </w:div>
        <w:div w:id="11">
          <w:marLeft w:val="1166"/>
          <w:marRight w:val="0"/>
          <w:marTop w:val="96"/>
          <w:marBottom w:val="0"/>
          <w:divBdr>
            <w:top w:val="none" w:sz="0" w:space="0" w:color="auto"/>
            <w:left w:val="none" w:sz="0" w:space="0" w:color="auto"/>
            <w:bottom w:val="none" w:sz="0" w:space="0" w:color="auto"/>
            <w:right w:val="none" w:sz="0" w:space="0" w:color="auto"/>
          </w:divBdr>
        </w:div>
        <w:div w:id="21">
          <w:marLeft w:val="1166"/>
          <w:marRight w:val="0"/>
          <w:marTop w:val="96"/>
          <w:marBottom w:val="0"/>
          <w:divBdr>
            <w:top w:val="none" w:sz="0" w:space="0" w:color="auto"/>
            <w:left w:val="none" w:sz="0" w:space="0" w:color="auto"/>
            <w:bottom w:val="none" w:sz="0" w:space="0" w:color="auto"/>
            <w:right w:val="none" w:sz="0" w:space="0" w:color="auto"/>
          </w:divBdr>
        </w:div>
        <w:div w:id="23">
          <w:marLeft w:val="446"/>
          <w:marRight w:val="0"/>
          <w:marTop w:val="120"/>
          <w:marBottom w:val="0"/>
          <w:divBdr>
            <w:top w:val="none" w:sz="0" w:space="0" w:color="auto"/>
            <w:left w:val="none" w:sz="0" w:space="0" w:color="auto"/>
            <w:bottom w:val="none" w:sz="0" w:space="0" w:color="auto"/>
            <w:right w:val="none" w:sz="0" w:space="0" w:color="auto"/>
          </w:divBdr>
        </w:div>
        <w:div w:id="24">
          <w:marLeft w:val="1166"/>
          <w:marRight w:val="0"/>
          <w:marTop w:val="96"/>
          <w:marBottom w:val="0"/>
          <w:divBdr>
            <w:top w:val="none" w:sz="0" w:space="0" w:color="auto"/>
            <w:left w:val="none" w:sz="0" w:space="0" w:color="auto"/>
            <w:bottom w:val="none" w:sz="0" w:space="0" w:color="auto"/>
            <w:right w:val="none" w:sz="0" w:space="0" w:color="auto"/>
          </w:divBdr>
        </w:div>
        <w:div w:id="27">
          <w:marLeft w:val="1166"/>
          <w:marRight w:val="0"/>
          <w:marTop w:val="96"/>
          <w:marBottom w:val="0"/>
          <w:divBdr>
            <w:top w:val="none" w:sz="0" w:space="0" w:color="auto"/>
            <w:left w:val="none" w:sz="0" w:space="0" w:color="auto"/>
            <w:bottom w:val="none" w:sz="0" w:space="0" w:color="auto"/>
            <w:right w:val="none" w:sz="0" w:space="0" w:color="auto"/>
          </w:divBdr>
        </w:div>
        <w:div w:id="28">
          <w:marLeft w:val="1714"/>
          <w:marRight w:val="0"/>
          <w:marTop w:val="84"/>
          <w:marBottom w:val="0"/>
          <w:divBdr>
            <w:top w:val="none" w:sz="0" w:space="0" w:color="auto"/>
            <w:left w:val="none" w:sz="0" w:space="0" w:color="auto"/>
            <w:bottom w:val="none" w:sz="0" w:space="0" w:color="auto"/>
            <w:right w:val="none" w:sz="0" w:space="0" w:color="auto"/>
          </w:divBdr>
        </w:div>
        <w:div w:id="30">
          <w:marLeft w:val="446"/>
          <w:marRight w:val="0"/>
          <w:marTop w:val="120"/>
          <w:marBottom w:val="0"/>
          <w:divBdr>
            <w:top w:val="none" w:sz="0" w:space="0" w:color="auto"/>
            <w:left w:val="none" w:sz="0" w:space="0" w:color="auto"/>
            <w:bottom w:val="none" w:sz="0" w:space="0" w:color="auto"/>
            <w:right w:val="none" w:sz="0" w:space="0" w:color="auto"/>
          </w:divBdr>
        </w:div>
        <w:div w:id="33">
          <w:marLeft w:val="1166"/>
          <w:marRight w:val="0"/>
          <w:marTop w:val="96"/>
          <w:marBottom w:val="0"/>
          <w:divBdr>
            <w:top w:val="none" w:sz="0" w:space="0" w:color="auto"/>
            <w:left w:val="none" w:sz="0" w:space="0" w:color="auto"/>
            <w:bottom w:val="none" w:sz="0" w:space="0" w:color="auto"/>
            <w:right w:val="none" w:sz="0" w:space="0" w:color="auto"/>
          </w:divBdr>
        </w:div>
        <w:div w:id="37">
          <w:marLeft w:val="1166"/>
          <w:marRight w:val="0"/>
          <w:marTop w:val="96"/>
          <w:marBottom w:val="0"/>
          <w:divBdr>
            <w:top w:val="none" w:sz="0" w:space="0" w:color="auto"/>
            <w:left w:val="none" w:sz="0" w:space="0" w:color="auto"/>
            <w:bottom w:val="none" w:sz="0" w:space="0" w:color="auto"/>
            <w:right w:val="none" w:sz="0" w:space="0" w:color="auto"/>
          </w:divBdr>
        </w:div>
        <w:div w:id="40">
          <w:marLeft w:val="1166"/>
          <w:marRight w:val="0"/>
          <w:marTop w:val="96"/>
          <w:marBottom w:val="0"/>
          <w:divBdr>
            <w:top w:val="none" w:sz="0" w:space="0" w:color="auto"/>
            <w:left w:val="none" w:sz="0" w:space="0" w:color="auto"/>
            <w:bottom w:val="none" w:sz="0" w:space="0" w:color="auto"/>
            <w:right w:val="none" w:sz="0" w:space="0" w:color="auto"/>
          </w:divBdr>
        </w:div>
        <w:div w:id="41">
          <w:marLeft w:val="446"/>
          <w:marRight w:val="0"/>
          <w:marTop w:val="120"/>
          <w:marBottom w:val="0"/>
          <w:divBdr>
            <w:top w:val="none" w:sz="0" w:space="0" w:color="auto"/>
            <w:left w:val="none" w:sz="0" w:space="0" w:color="auto"/>
            <w:bottom w:val="none" w:sz="0" w:space="0" w:color="auto"/>
            <w:right w:val="none" w:sz="0" w:space="0" w:color="auto"/>
          </w:divBdr>
        </w:div>
        <w:div w:id="42">
          <w:marLeft w:val="1166"/>
          <w:marRight w:val="0"/>
          <w:marTop w:val="96"/>
          <w:marBottom w:val="0"/>
          <w:divBdr>
            <w:top w:val="none" w:sz="0" w:space="0" w:color="auto"/>
            <w:left w:val="none" w:sz="0" w:space="0" w:color="auto"/>
            <w:bottom w:val="none" w:sz="0" w:space="0" w:color="auto"/>
            <w:right w:val="none" w:sz="0" w:space="0" w:color="auto"/>
          </w:divBdr>
        </w:div>
        <w:div w:id="43">
          <w:marLeft w:val="1166"/>
          <w:marRight w:val="0"/>
          <w:marTop w:val="96"/>
          <w:marBottom w:val="0"/>
          <w:divBdr>
            <w:top w:val="none" w:sz="0" w:space="0" w:color="auto"/>
            <w:left w:val="none" w:sz="0" w:space="0" w:color="auto"/>
            <w:bottom w:val="none" w:sz="0" w:space="0" w:color="auto"/>
            <w:right w:val="none" w:sz="0" w:space="0" w:color="auto"/>
          </w:divBdr>
        </w:div>
        <w:div w:id="61">
          <w:marLeft w:val="1714"/>
          <w:marRight w:val="0"/>
          <w:marTop w:val="84"/>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4">
          <w:marLeft w:val="1714"/>
          <w:marRight w:val="0"/>
          <w:marTop w:val="84"/>
          <w:marBottom w:val="0"/>
          <w:divBdr>
            <w:top w:val="none" w:sz="0" w:space="0" w:color="auto"/>
            <w:left w:val="none" w:sz="0" w:space="0" w:color="auto"/>
            <w:bottom w:val="none" w:sz="0" w:space="0" w:color="auto"/>
            <w:right w:val="none" w:sz="0" w:space="0" w:color="auto"/>
          </w:divBdr>
        </w:div>
        <w:div w:id="9">
          <w:marLeft w:val="1166"/>
          <w:marRight w:val="0"/>
          <w:marTop w:val="96"/>
          <w:marBottom w:val="0"/>
          <w:divBdr>
            <w:top w:val="none" w:sz="0" w:space="0" w:color="auto"/>
            <w:left w:val="none" w:sz="0" w:space="0" w:color="auto"/>
            <w:bottom w:val="none" w:sz="0" w:space="0" w:color="auto"/>
            <w:right w:val="none" w:sz="0" w:space="0" w:color="auto"/>
          </w:divBdr>
        </w:div>
        <w:div w:id="13">
          <w:marLeft w:val="1714"/>
          <w:marRight w:val="0"/>
          <w:marTop w:val="84"/>
          <w:marBottom w:val="0"/>
          <w:divBdr>
            <w:top w:val="none" w:sz="0" w:space="0" w:color="auto"/>
            <w:left w:val="none" w:sz="0" w:space="0" w:color="auto"/>
            <w:bottom w:val="none" w:sz="0" w:space="0" w:color="auto"/>
            <w:right w:val="none" w:sz="0" w:space="0" w:color="auto"/>
          </w:divBdr>
        </w:div>
        <w:div w:id="15">
          <w:marLeft w:val="1714"/>
          <w:marRight w:val="0"/>
          <w:marTop w:val="84"/>
          <w:marBottom w:val="0"/>
          <w:divBdr>
            <w:top w:val="none" w:sz="0" w:space="0" w:color="auto"/>
            <w:left w:val="none" w:sz="0" w:space="0" w:color="auto"/>
            <w:bottom w:val="none" w:sz="0" w:space="0" w:color="auto"/>
            <w:right w:val="none" w:sz="0" w:space="0" w:color="auto"/>
          </w:divBdr>
        </w:div>
        <w:div w:id="44">
          <w:marLeft w:val="1714"/>
          <w:marRight w:val="0"/>
          <w:marTop w:val="84"/>
          <w:marBottom w:val="0"/>
          <w:divBdr>
            <w:top w:val="none" w:sz="0" w:space="0" w:color="auto"/>
            <w:left w:val="none" w:sz="0" w:space="0" w:color="auto"/>
            <w:bottom w:val="none" w:sz="0" w:space="0" w:color="auto"/>
            <w:right w:val="none" w:sz="0" w:space="0" w:color="auto"/>
          </w:divBdr>
        </w:div>
        <w:div w:id="46">
          <w:marLeft w:val="1714"/>
          <w:marRight w:val="0"/>
          <w:marTop w:val="84"/>
          <w:marBottom w:val="0"/>
          <w:divBdr>
            <w:top w:val="none" w:sz="0" w:space="0" w:color="auto"/>
            <w:left w:val="none" w:sz="0" w:space="0" w:color="auto"/>
            <w:bottom w:val="none" w:sz="0" w:space="0" w:color="auto"/>
            <w:right w:val="none" w:sz="0" w:space="0" w:color="auto"/>
          </w:divBdr>
        </w:div>
        <w:div w:id="52">
          <w:marLeft w:val="1166"/>
          <w:marRight w:val="0"/>
          <w:marTop w:val="96"/>
          <w:marBottom w:val="0"/>
          <w:divBdr>
            <w:top w:val="none" w:sz="0" w:space="0" w:color="auto"/>
            <w:left w:val="none" w:sz="0" w:space="0" w:color="auto"/>
            <w:bottom w:val="none" w:sz="0" w:space="0" w:color="auto"/>
            <w:right w:val="none" w:sz="0" w:space="0" w:color="auto"/>
          </w:divBdr>
        </w:div>
        <w:div w:id="55">
          <w:marLeft w:val="446"/>
          <w:marRight w:val="0"/>
          <w:marTop w:val="12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4941437">
      <w:bodyDiv w:val="1"/>
      <w:marLeft w:val="0"/>
      <w:marRight w:val="0"/>
      <w:marTop w:val="0"/>
      <w:marBottom w:val="0"/>
      <w:divBdr>
        <w:top w:val="none" w:sz="0" w:space="0" w:color="auto"/>
        <w:left w:val="none" w:sz="0" w:space="0" w:color="auto"/>
        <w:bottom w:val="none" w:sz="0" w:space="0" w:color="auto"/>
        <w:right w:val="none" w:sz="0" w:space="0" w:color="auto"/>
      </w:divBdr>
    </w:div>
    <w:div w:id="16664887">
      <w:bodyDiv w:val="1"/>
      <w:marLeft w:val="0"/>
      <w:marRight w:val="0"/>
      <w:marTop w:val="0"/>
      <w:marBottom w:val="0"/>
      <w:divBdr>
        <w:top w:val="none" w:sz="0" w:space="0" w:color="auto"/>
        <w:left w:val="none" w:sz="0" w:space="0" w:color="auto"/>
        <w:bottom w:val="none" w:sz="0" w:space="0" w:color="auto"/>
        <w:right w:val="none" w:sz="0" w:space="0" w:color="auto"/>
      </w:divBdr>
    </w:div>
    <w:div w:id="42755216">
      <w:bodyDiv w:val="1"/>
      <w:marLeft w:val="0"/>
      <w:marRight w:val="0"/>
      <w:marTop w:val="0"/>
      <w:marBottom w:val="0"/>
      <w:divBdr>
        <w:top w:val="none" w:sz="0" w:space="0" w:color="auto"/>
        <w:left w:val="none" w:sz="0" w:space="0" w:color="auto"/>
        <w:bottom w:val="none" w:sz="0" w:space="0" w:color="auto"/>
        <w:right w:val="none" w:sz="0" w:space="0" w:color="auto"/>
      </w:divBdr>
      <w:divsChild>
        <w:div w:id="1306467884">
          <w:marLeft w:val="547"/>
          <w:marRight w:val="0"/>
          <w:marTop w:val="0"/>
          <w:marBottom w:val="240"/>
          <w:divBdr>
            <w:top w:val="none" w:sz="0" w:space="0" w:color="auto"/>
            <w:left w:val="none" w:sz="0" w:space="0" w:color="auto"/>
            <w:bottom w:val="none" w:sz="0" w:space="0" w:color="auto"/>
            <w:right w:val="none" w:sz="0" w:space="0" w:color="auto"/>
          </w:divBdr>
        </w:div>
        <w:div w:id="73475418">
          <w:marLeft w:val="547"/>
          <w:marRight w:val="0"/>
          <w:marTop w:val="0"/>
          <w:marBottom w:val="240"/>
          <w:divBdr>
            <w:top w:val="none" w:sz="0" w:space="0" w:color="auto"/>
            <w:left w:val="none" w:sz="0" w:space="0" w:color="auto"/>
            <w:bottom w:val="none" w:sz="0" w:space="0" w:color="auto"/>
            <w:right w:val="none" w:sz="0" w:space="0" w:color="auto"/>
          </w:divBdr>
        </w:div>
      </w:divsChild>
    </w:div>
    <w:div w:id="82723982">
      <w:bodyDiv w:val="1"/>
      <w:marLeft w:val="0"/>
      <w:marRight w:val="0"/>
      <w:marTop w:val="0"/>
      <w:marBottom w:val="0"/>
      <w:divBdr>
        <w:top w:val="none" w:sz="0" w:space="0" w:color="auto"/>
        <w:left w:val="none" w:sz="0" w:space="0" w:color="auto"/>
        <w:bottom w:val="none" w:sz="0" w:space="0" w:color="auto"/>
        <w:right w:val="none" w:sz="0" w:space="0" w:color="auto"/>
      </w:divBdr>
    </w:div>
    <w:div w:id="123230443">
      <w:bodyDiv w:val="1"/>
      <w:marLeft w:val="0"/>
      <w:marRight w:val="0"/>
      <w:marTop w:val="0"/>
      <w:marBottom w:val="0"/>
      <w:divBdr>
        <w:top w:val="none" w:sz="0" w:space="0" w:color="auto"/>
        <w:left w:val="none" w:sz="0" w:space="0" w:color="auto"/>
        <w:bottom w:val="none" w:sz="0" w:space="0" w:color="auto"/>
        <w:right w:val="none" w:sz="0" w:space="0" w:color="auto"/>
      </w:divBdr>
      <w:divsChild>
        <w:div w:id="892498989">
          <w:marLeft w:val="360"/>
          <w:marRight w:val="0"/>
          <w:marTop w:val="96"/>
          <w:marBottom w:val="240"/>
          <w:divBdr>
            <w:top w:val="none" w:sz="0" w:space="0" w:color="auto"/>
            <w:left w:val="none" w:sz="0" w:space="0" w:color="auto"/>
            <w:bottom w:val="none" w:sz="0" w:space="0" w:color="auto"/>
            <w:right w:val="none" w:sz="0" w:space="0" w:color="auto"/>
          </w:divBdr>
        </w:div>
        <w:div w:id="927881977">
          <w:marLeft w:val="360"/>
          <w:marRight w:val="0"/>
          <w:marTop w:val="96"/>
          <w:marBottom w:val="240"/>
          <w:divBdr>
            <w:top w:val="none" w:sz="0" w:space="0" w:color="auto"/>
            <w:left w:val="none" w:sz="0" w:space="0" w:color="auto"/>
            <w:bottom w:val="none" w:sz="0" w:space="0" w:color="auto"/>
            <w:right w:val="none" w:sz="0" w:space="0" w:color="auto"/>
          </w:divBdr>
        </w:div>
        <w:div w:id="1746802916">
          <w:marLeft w:val="360"/>
          <w:marRight w:val="0"/>
          <w:marTop w:val="96"/>
          <w:marBottom w:val="240"/>
          <w:divBdr>
            <w:top w:val="none" w:sz="0" w:space="0" w:color="auto"/>
            <w:left w:val="none" w:sz="0" w:space="0" w:color="auto"/>
            <w:bottom w:val="none" w:sz="0" w:space="0" w:color="auto"/>
            <w:right w:val="none" w:sz="0" w:space="0" w:color="auto"/>
          </w:divBdr>
        </w:div>
        <w:div w:id="1872451629">
          <w:marLeft w:val="360"/>
          <w:marRight w:val="0"/>
          <w:marTop w:val="96"/>
          <w:marBottom w:val="240"/>
          <w:divBdr>
            <w:top w:val="none" w:sz="0" w:space="0" w:color="auto"/>
            <w:left w:val="none" w:sz="0" w:space="0" w:color="auto"/>
            <w:bottom w:val="none" w:sz="0" w:space="0" w:color="auto"/>
            <w:right w:val="none" w:sz="0" w:space="0" w:color="auto"/>
          </w:divBdr>
        </w:div>
        <w:div w:id="2113279382">
          <w:marLeft w:val="360"/>
          <w:marRight w:val="0"/>
          <w:marTop w:val="96"/>
          <w:marBottom w:val="240"/>
          <w:divBdr>
            <w:top w:val="none" w:sz="0" w:space="0" w:color="auto"/>
            <w:left w:val="none" w:sz="0" w:space="0" w:color="auto"/>
            <w:bottom w:val="none" w:sz="0" w:space="0" w:color="auto"/>
            <w:right w:val="none" w:sz="0" w:space="0" w:color="auto"/>
          </w:divBdr>
        </w:div>
      </w:divsChild>
    </w:div>
    <w:div w:id="159201615">
      <w:bodyDiv w:val="1"/>
      <w:marLeft w:val="0"/>
      <w:marRight w:val="0"/>
      <w:marTop w:val="0"/>
      <w:marBottom w:val="0"/>
      <w:divBdr>
        <w:top w:val="none" w:sz="0" w:space="0" w:color="auto"/>
        <w:left w:val="none" w:sz="0" w:space="0" w:color="auto"/>
        <w:bottom w:val="none" w:sz="0" w:space="0" w:color="auto"/>
        <w:right w:val="none" w:sz="0" w:space="0" w:color="auto"/>
      </w:divBdr>
    </w:div>
    <w:div w:id="167868451">
      <w:bodyDiv w:val="1"/>
      <w:marLeft w:val="0"/>
      <w:marRight w:val="0"/>
      <w:marTop w:val="0"/>
      <w:marBottom w:val="0"/>
      <w:divBdr>
        <w:top w:val="none" w:sz="0" w:space="0" w:color="auto"/>
        <w:left w:val="none" w:sz="0" w:space="0" w:color="auto"/>
        <w:bottom w:val="none" w:sz="0" w:space="0" w:color="auto"/>
        <w:right w:val="none" w:sz="0" w:space="0" w:color="auto"/>
      </w:divBdr>
      <w:divsChild>
        <w:div w:id="1146119555">
          <w:marLeft w:val="0"/>
          <w:marRight w:val="0"/>
          <w:marTop w:val="0"/>
          <w:marBottom w:val="0"/>
          <w:divBdr>
            <w:top w:val="none" w:sz="0" w:space="0" w:color="auto"/>
            <w:left w:val="none" w:sz="0" w:space="0" w:color="auto"/>
            <w:bottom w:val="none" w:sz="0" w:space="0" w:color="auto"/>
            <w:right w:val="none" w:sz="0" w:space="0" w:color="auto"/>
          </w:divBdr>
          <w:divsChild>
            <w:div w:id="1451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8943">
      <w:bodyDiv w:val="1"/>
      <w:marLeft w:val="0"/>
      <w:marRight w:val="0"/>
      <w:marTop w:val="0"/>
      <w:marBottom w:val="0"/>
      <w:divBdr>
        <w:top w:val="none" w:sz="0" w:space="0" w:color="auto"/>
        <w:left w:val="none" w:sz="0" w:space="0" w:color="auto"/>
        <w:bottom w:val="none" w:sz="0" w:space="0" w:color="auto"/>
        <w:right w:val="none" w:sz="0" w:space="0" w:color="auto"/>
      </w:divBdr>
    </w:div>
    <w:div w:id="341931808">
      <w:bodyDiv w:val="1"/>
      <w:marLeft w:val="0"/>
      <w:marRight w:val="0"/>
      <w:marTop w:val="0"/>
      <w:marBottom w:val="0"/>
      <w:divBdr>
        <w:top w:val="none" w:sz="0" w:space="0" w:color="auto"/>
        <w:left w:val="none" w:sz="0" w:space="0" w:color="auto"/>
        <w:bottom w:val="none" w:sz="0" w:space="0" w:color="auto"/>
        <w:right w:val="none" w:sz="0" w:space="0" w:color="auto"/>
      </w:divBdr>
      <w:divsChild>
        <w:div w:id="88628309">
          <w:marLeft w:val="360"/>
          <w:marRight w:val="0"/>
          <w:marTop w:val="60"/>
          <w:marBottom w:val="0"/>
          <w:divBdr>
            <w:top w:val="none" w:sz="0" w:space="0" w:color="auto"/>
            <w:left w:val="none" w:sz="0" w:space="0" w:color="auto"/>
            <w:bottom w:val="none" w:sz="0" w:space="0" w:color="auto"/>
            <w:right w:val="none" w:sz="0" w:space="0" w:color="auto"/>
          </w:divBdr>
        </w:div>
        <w:div w:id="212625043">
          <w:marLeft w:val="720"/>
          <w:marRight w:val="0"/>
          <w:marTop w:val="60"/>
          <w:marBottom w:val="0"/>
          <w:divBdr>
            <w:top w:val="none" w:sz="0" w:space="0" w:color="auto"/>
            <w:left w:val="none" w:sz="0" w:space="0" w:color="auto"/>
            <w:bottom w:val="none" w:sz="0" w:space="0" w:color="auto"/>
            <w:right w:val="none" w:sz="0" w:space="0" w:color="auto"/>
          </w:divBdr>
        </w:div>
        <w:div w:id="334847920">
          <w:marLeft w:val="720"/>
          <w:marRight w:val="0"/>
          <w:marTop w:val="60"/>
          <w:marBottom w:val="0"/>
          <w:divBdr>
            <w:top w:val="none" w:sz="0" w:space="0" w:color="auto"/>
            <w:left w:val="none" w:sz="0" w:space="0" w:color="auto"/>
            <w:bottom w:val="none" w:sz="0" w:space="0" w:color="auto"/>
            <w:right w:val="none" w:sz="0" w:space="0" w:color="auto"/>
          </w:divBdr>
        </w:div>
        <w:div w:id="603542050">
          <w:marLeft w:val="360"/>
          <w:marRight w:val="0"/>
          <w:marTop w:val="60"/>
          <w:marBottom w:val="0"/>
          <w:divBdr>
            <w:top w:val="none" w:sz="0" w:space="0" w:color="auto"/>
            <w:left w:val="none" w:sz="0" w:space="0" w:color="auto"/>
            <w:bottom w:val="none" w:sz="0" w:space="0" w:color="auto"/>
            <w:right w:val="none" w:sz="0" w:space="0" w:color="auto"/>
          </w:divBdr>
        </w:div>
        <w:div w:id="1136491492">
          <w:marLeft w:val="720"/>
          <w:marRight w:val="0"/>
          <w:marTop w:val="60"/>
          <w:marBottom w:val="0"/>
          <w:divBdr>
            <w:top w:val="none" w:sz="0" w:space="0" w:color="auto"/>
            <w:left w:val="none" w:sz="0" w:space="0" w:color="auto"/>
            <w:bottom w:val="none" w:sz="0" w:space="0" w:color="auto"/>
            <w:right w:val="none" w:sz="0" w:space="0" w:color="auto"/>
          </w:divBdr>
        </w:div>
        <w:div w:id="1204750139">
          <w:marLeft w:val="720"/>
          <w:marRight w:val="0"/>
          <w:marTop w:val="60"/>
          <w:marBottom w:val="0"/>
          <w:divBdr>
            <w:top w:val="none" w:sz="0" w:space="0" w:color="auto"/>
            <w:left w:val="none" w:sz="0" w:space="0" w:color="auto"/>
            <w:bottom w:val="none" w:sz="0" w:space="0" w:color="auto"/>
            <w:right w:val="none" w:sz="0" w:space="0" w:color="auto"/>
          </w:divBdr>
        </w:div>
        <w:div w:id="1238632792">
          <w:marLeft w:val="173"/>
          <w:marRight w:val="0"/>
          <w:marTop w:val="60"/>
          <w:marBottom w:val="0"/>
          <w:divBdr>
            <w:top w:val="none" w:sz="0" w:space="0" w:color="auto"/>
            <w:left w:val="none" w:sz="0" w:space="0" w:color="auto"/>
            <w:bottom w:val="none" w:sz="0" w:space="0" w:color="auto"/>
            <w:right w:val="none" w:sz="0" w:space="0" w:color="auto"/>
          </w:divBdr>
        </w:div>
        <w:div w:id="1259757291">
          <w:marLeft w:val="720"/>
          <w:marRight w:val="0"/>
          <w:marTop w:val="60"/>
          <w:marBottom w:val="0"/>
          <w:divBdr>
            <w:top w:val="none" w:sz="0" w:space="0" w:color="auto"/>
            <w:left w:val="none" w:sz="0" w:space="0" w:color="auto"/>
            <w:bottom w:val="none" w:sz="0" w:space="0" w:color="auto"/>
            <w:right w:val="none" w:sz="0" w:space="0" w:color="auto"/>
          </w:divBdr>
        </w:div>
        <w:div w:id="1284112919">
          <w:marLeft w:val="360"/>
          <w:marRight w:val="0"/>
          <w:marTop w:val="60"/>
          <w:marBottom w:val="0"/>
          <w:divBdr>
            <w:top w:val="none" w:sz="0" w:space="0" w:color="auto"/>
            <w:left w:val="none" w:sz="0" w:space="0" w:color="auto"/>
            <w:bottom w:val="none" w:sz="0" w:space="0" w:color="auto"/>
            <w:right w:val="none" w:sz="0" w:space="0" w:color="auto"/>
          </w:divBdr>
        </w:div>
        <w:div w:id="1528835698">
          <w:marLeft w:val="720"/>
          <w:marRight w:val="0"/>
          <w:marTop w:val="60"/>
          <w:marBottom w:val="0"/>
          <w:divBdr>
            <w:top w:val="none" w:sz="0" w:space="0" w:color="auto"/>
            <w:left w:val="none" w:sz="0" w:space="0" w:color="auto"/>
            <w:bottom w:val="none" w:sz="0" w:space="0" w:color="auto"/>
            <w:right w:val="none" w:sz="0" w:space="0" w:color="auto"/>
          </w:divBdr>
        </w:div>
        <w:div w:id="1621571037">
          <w:marLeft w:val="720"/>
          <w:marRight w:val="0"/>
          <w:marTop w:val="60"/>
          <w:marBottom w:val="0"/>
          <w:divBdr>
            <w:top w:val="none" w:sz="0" w:space="0" w:color="auto"/>
            <w:left w:val="none" w:sz="0" w:space="0" w:color="auto"/>
            <w:bottom w:val="none" w:sz="0" w:space="0" w:color="auto"/>
            <w:right w:val="none" w:sz="0" w:space="0" w:color="auto"/>
          </w:divBdr>
        </w:div>
        <w:div w:id="1913152662">
          <w:marLeft w:val="720"/>
          <w:marRight w:val="0"/>
          <w:marTop w:val="60"/>
          <w:marBottom w:val="0"/>
          <w:divBdr>
            <w:top w:val="none" w:sz="0" w:space="0" w:color="auto"/>
            <w:left w:val="none" w:sz="0" w:space="0" w:color="auto"/>
            <w:bottom w:val="none" w:sz="0" w:space="0" w:color="auto"/>
            <w:right w:val="none" w:sz="0" w:space="0" w:color="auto"/>
          </w:divBdr>
        </w:div>
        <w:div w:id="1929071940">
          <w:marLeft w:val="720"/>
          <w:marRight w:val="0"/>
          <w:marTop w:val="60"/>
          <w:marBottom w:val="0"/>
          <w:divBdr>
            <w:top w:val="none" w:sz="0" w:space="0" w:color="auto"/>
            <w:left w:val="none" w:sz="0" w:space="0" w:color="auto"/>
            <w:bottom w:val="none" w:sz="0" w:space="0" w:color="auto"/>
            <w:right w:val="none" w:sz="0" w:space="0" w:color="auto"/>
          </w:divBdr>
        </w:div>
        <w:div w:id="1993412033">
          <w:marLeft w:val="720"/>
          <w:marRight w:val="0"/>
          <w:marTop w:val="60"/>
          <w:marBottom w:val="0"/>
          <w:divBdr>
            <w:top w:val="none" w:sz="0" w:space="0" w:color="auto"/>
            <w:left w:val="none" w:sz="0" w:space="0" w:color="auto"/>
            <w:bottom w:val="none" w:sz="0" w:space="0" w:color="auto"/>
            <w:right w:val="none" w:sz="0" w:space="0" w:color="auto"/>
          </w:divBdr>
        </w:div>
        <w:div w:id="2083212345">
          <w:marLeft w:val="360"/>
          <w:marRight w:val="0"/>
          <w:marTop w:val="60"/>
          <w:marBottom w:val="0"/>
          <w:divBdr>
            <w:top w:val="none" w:sz="0" w:space="0" w:color="auto"/>
            <w:left w:val="none" w:sz="0" w:space="0" w:color="auto"/>
            <w:bottom w:val="none" w:sz="0" w:space="0" w:color="auto"/>
            <w:right w:val="none" w:sz="0" w:space="0" w:color="auto"/>
          </w:divBdr>
        </w:div>
      </w:divsChild>
    </w:div>
    <w:div w:id="356584202">
      <w:bodyDiv w:val="1"/>
      <w:marLeft w:val="0"/>
      <w:marRight w:val="0"/>
      <w:marTop w:val="0"/>
      <w:marBottom w:val="0"/>
      <w:divBdr>
        <w:top w:val="none" w:sz="0" w:space="0" w:color="auto"/>
        <w:left w:val="none" w:sz="0" w:space="0" w:color="auto"/>
        <w:bottom w:val="none" w:sz="0" w:space="0" w:color="auto"/>
        <w:right w:val="none" w:sz="0" w:space="0" w:color="auto"/>
      </w:divBdr>
      <w:divsChild>
        <w:div w:id="280770004">
          <w:marLeft w:val="907"/>
          <w:marRight w:val="0"/>
          <w:marTop w:val="86"/>
          <w:marBottom w:val="0"/>
          <w:divBdr>
            <w:top w:val="none" w:sz="0" w:space="0" w:color="auto"/>
            <w:left w:val="none" w:sz="0" w:space="0" w:color="auto"/>
            <w:bottom w:val="none" w:sz="0" w:space="0" w:color="auto"/>
            <w:right w:val="none" w:sz="0" w:space="0" w:color="auto"/>
          </w:divBdr>
        </w:div>
      </w:divsChild>
    </w:div>
    <w:div w:id="426267764">
      <w:bodyDiv w:val="1"/>
      <w:marLeft w:val="0"/>
      <w:marRight w:val="0"/>
      <w:marTop w:val="0"/>
      <w:marBottom w:val="0"/>
      <w:divBdr>
        <w:top w:val="none" w:sz="0" w:space="0" w:color="auto"/>
        <w:left w:val="none" w:sz="0" w:space="0" w:color="auto"/>
        <w:bottom w:val="none" w:sz="0" w:space="0" w:color="auto"/>
        <w:right w:val="none" w:sz="0" w:space="0" w:color="auto"/>
      </w:divBdr>
      <w:divsChild>
        <w:div w:id="212542714">
          <w:marLeft w:val="446"/>
          <w:marRight w:val="0"/>
          <w:marTop w:val="0"/>
          <w:marBottom w:val="0"/>
          <w:divBdr>
            <w:top w:val="none" w:sz="0" w:space="0" w:color="auto"/>
            <w:left w:val="none" w:sz="0" w:space="0" w:color="auto"/>
            <w:bottom w:val="none" w:sz="0" w:space="0" w:color="auto"/>
            <w:right w:val="none" w:sz="0" w:space="0" w:color="auto"/>
          </w:divBdr>
        </w:div>
        <w:div w:id="301423659">
          <w:marLeft w:val="446"/>
          <w:marRight w:val="0"/>
          <w:marTop w:val="0"/>
          <w:marBottom w:val="0"/>
          <w:divBdr>
            <w:top w:val="none" w:sz="0" w:space="0" w:color="auto"/>
            <w:left w:val="none" w:sz="0" w:space="0" w:color="auto"/>
            <w:bottom w:val="none" w:sz="0" w:space="0" w:color="auto"/>
            <w:right w:val="none" w:sz="0" w:space="0" w:color="auto"/>
          </w:divBdr>
        </w:div>
        <w:div w:id="788818090">
          <w:marLeft w:val="446"/>
          <w:marRight w:val="0"/>
          <w:marTop w:val="0"/>
          <w:marBottom w:val="0"/>
          <w:divBdr>
            <w:top w:val="none" w:sz="0" w:space="0" w:color="auto"/>
            <w:left w:val="none" w:sz="0" w:space="0" w:color="auto"/>
            <w:bottom w:val="none" w:sz="0" w:space="0" w:color="auto"/>
            <w:right w:val="none" w:sz="0" w:space="0" w:color="auto"/>
          </w:divBdr>
        </w:div>
        <w:div w:id="1178890957">
          <w:marLeft w:val="446"/>
          <w:marRight w:val="0"/>
          <w:marTop w:val="0"/>
          <w:marBottom w:val="0"/>
          <w:divBdr>
            <w:top w:val="none" w:sz="0" w:space="0" w:color="auto"/>
            <w:left w:val="none" w:sz="0" w:space="0" w:color="auto"/>
            <w:bottom w:val="none" w:sz="0" w:space="0" w:color="auto"/>
            <w:right w:val="none" w:sz="0" w:space="0" w:color="auto"/>
          </w:divBdr>
        </w:div>
        <w:div w:id="1279142019">
          <w:marLeft w:val="446"/>
          <w:marRight w:val="0"/>
          <w:marTop w:val="0"/>
          <w:marBottom w:val="0"/>
          <w:divBdr>
            <w:top w:val="none" w:sz="0" w:space="0" w:color="auto"/>
            <w:left w:val="none" w:sz="0" w:space="0" w:color="auto"/>
            <w:bottom w:val="none" w:sz="0" w:space="0" w:color="auto"/>
            <w:right w:val="none" w:sz="0" w:space="0" w:color="auto"/>
          </w:divBdr>
        </w:div>
        <w:div w:id="1464352514">
          <w:marLeft w:val="446"/>
          <w:marRight w:val="0"/>
          <w:marTop w:val="0"/>
          <w:marBottom w:val="0"/>
          <w:divBdr>
            <w:top w:val="none" w:sz="0" w:space="0" w:color="auto"/>
            <w:left w:val="none" w:sz="0" w:space="0" w:color="auto"/>
            <w:bottom w:val="none" w:sz="0" w:space="0" w:color="auto"/>
            <w:right w:val="none" w:sz="0" w:space="0" w:color="auto"/>
          </w:divBdr>
        </w:div>
        <w:div w:id="1541361473">
          <w:marLeft w:val="446"/>
          <w:marRight w:val="0"/>
          <w:marTop w:val="0"/>
          <w:marBottom w:val="0"/>
          <w:divBdr>
            <w:top w:val="none" w:sz="0" w:space="0" w:color="auto"/>
            <w:left w:val="none" w:sz="0" w:space="0" w:color="auto"/>
            <w:bottom w:val="none" w:sz="0" w:space="0" w:color="auto"/>
            <w:right w:val="none" w:sz="0" w:space="0" w:color="auto"/>
          </w:divBdr>
        </w:div>
        <w:div w:id="1844396073">
          <w:marLeft w:val="446"/>
          <w:marRight w:val="0"/>
          <w:marTop w:val="0"/>
          <w:marBottom w:val="0"/>
          <w:divBdr>
            <w:top w:val="none" w:sz="0" w:space="0" w:color="auto"/>
            <w:left w:val="none" w:sz="0" w:space="0" w:color="auto"/>
            <w:bottom w:val="none" w:sz="0" w:space="0" w:color="auto"/>
            <w:right w:val="none" w:sz="0" w:space="0" w:color="auto"/>
          </w:divBdr>
        </w:div>
      </w:divsChild>
    </w:div>
    <w:div w:id="437456409">
      <w:bodyDiv w:val="1"/>
      <w:marLeft w:val="0"/>
      <w:marRight w:val="0"/>
      <w:marTop w:val="0"/>
      <w:marBottom w:val="0"/>
      <w:divBdr>
        <w:top w:val="none" w:sz="0" w:space="0" w:color="auto"/>
        <w:left w:val="none" w:sz="0" w:space="0" w:color="auto"/>
        <w:bottom w:val="none" w:sz="0" w:space="0" w:color="auto"/>
        <w:right w:val="none" w:sz="0" w:space="0" w:color="auto"/>
      </w:divBdr>
      <w:divsChild>
        <w:div w:id="91634261">
          <w:marLeft w:val="360"/>
          <w:marRight w:val="0"/>
          <w:marTop w:val="86"/>
          <w:marBottom w:val="0"/>
          <w:divBdr>
            <w:top w:val="none" w:sz="0" w:space="0" w:color="auto"/>
            <w:left w:val="none" w:sz="0" w:space="0" w:color="auto"/>
            <w:bottom w:val="none" w:sz="0" w:space="0" w:color="auto"/>
            <w:right w:val="none" w:sz="0" w:space="0" w:color="auto"/>
          </w:divBdr>
        </w:div>
        <w:div w:id="92895515">
          <w:marLeft w:val="360"/>
          <w:marRight w:val="0"/>
          <w:marTop w:val="86"/>
          <w:marBottom w:val="0"/>
          <w:divBdr>
            <w:top w:val="none" w:sz="0" w:space="0" w:color="auto"/>
            <w:left w:val="none" w:sz="0" w:space="0" w:color="auto"/>
            <w:bottom w:val="none" w:sz="0" w:space="0" w:color="auto"/>
            <w:right w:val="none" w:sz="0" w:space="0" w:color="auto"/>
          </w:divBdr>
        </w:div>
        <w:div w:id="165170619">
          <w:marLeft w:val="360"/>
          <w:marRight w:val="0"/>
          <w:marTop w:val="86"/>
          <w:marBottom w:val="0"/>
          <w:divBdr>
            <w:top w:val="none" w:sz="0" w:space="0" w:color="auto"/>
            <w:left w:val="none" w:sz="0" w:space="0" w:color="auto"/>
            <w:bottom w:val="none" w:sz="0" w:space="0" w:color="auto"/>
            <w:right w:val="none" w:sz="0" w:space="0" w:color="auto"/>
          </w:divBdr>
        </w:div>
        <w:div w:id="651567486">
          <w:marLeft w:val="360"/>
          <w:marRight w:val="0"/>
          <w:marTop w:val="86"/>
          <w:marBottom w:val="0"/>
          <w:divBdr>
            <w:top w:val="none" w:sz="0" w:space="0" w:color="auto"/>
            <w:left w:val="none" w:sz="0" w:space="0" w:color="auto"/>
            <w:bottom w:val="none" w:sz="0" w:space="0" w:color="auto"/>
            <w:right w:val="none" w:sz="0" w:space="0" w:color="auto"/>
          </w:divBdr>
        </w:div>
        <w:div w:id="1987473069">
          <w:marLeft w:val="360"/>
          <w:marRight w:val="0"/>
          <w:marTop w:val="86"/>
          <w:marBottom w:val="0"/>
          <w:divBdr>
            <w:top w:val="none" w:sz="0" w:space="0" w:color="auto"/>
            <w:left w:val="none" w:sz="0" w:space="0" w:color="auto"/>
            <w:bottom w:val="none" w:sz="0" w:space="0" w:color="auto"/>
            <w:right w:val="none" w:sz="0" w:space="0" w:color="auto"/>
          </w:divBdr>
        </w:div>
        <w:div w:id="2025931924">
          <w:marLeft w:val="360"/>
          <w:marRight w:val="0"/>
          <w:marTop w:val="86"/>
          <w:marBottom w:val="0"/>
          <w:divBdr>
            <w:top w:val="none" w:sz="0" w:space="0" w:color="auto"/>
            <w:left w:val="none" w:sz="0" w:space="0" w:color="auto"/>
            <w:bottom w:val="none" w:sz="0" w:space="0" w:color="auto"/>
            <w:right w:val="none" w:sz="0" w:space="0" w:color="auto"/>
          </w:divBdr>
        </w:div>
      </w:divsChild>
    </w:div>
    <w:div w:id="488139593">
      <w:bodyDiv w:val="1"/>
      <w:marLeft w:val="0"/>
      <w:marRight w:val="0"/>
      <w:marTop w:val="0"/>
      <w:marBottom w:val="0"/>
      <w:divBdr>
        <w:top w:val="none" w:sz="0" w:space="0" w:color="auto"/>
        <w:left w:val="none" w:sz="0" w:space="0" w:color="auto"/>
        <w:bottom w:val="none" w:sz="0" w:space="0" w:color="auto"/>
        <w:right w:val="none" w:sz="0" w:space="0" w:color="auto"/>
      </w:divBdr>
      <w:divsChild>
        <w:div w:id="2132551447">
          <w:marLeft w:val="720"/>
          <w:marRight w:val="0"/>
          <w:marTop w:val="0"/>
          <w:marBottom w:val="120"/>
          <w:divBdr>
            <w:top w:val="none" w:sz="0" w:space="0" w:color="auto"/>
            <w:left w:val="none" w:sz="0" w:space="0" w:color="auto"/>
            <w:bottom w:val="none" w:sz="0" w:space="0" w:color="auto"/>
            <w:right w:val="none" w:sz="0" w:space="0" w:color="auto"/>
          </w:divBdr>
        </w:div>
        <w:div w:id="578953452">
          <w:marLeft w:val="720"/>
          <w:marRight w:val="0"/>
          <w:marTop w:val="0"/>
          <w:marBottom w:val="120"/>
          <w:divBdr>
            <w:top w:val="none" w:sz="0" w:space="0" w:color="auto"/>
            <w:left w:val="none" w:sz="0" w:space="0" w:color="auto"/>
            <w:bottom w:val="none" w:sz="0" w:space="0" w:color="auto"/>
            <w:right w:val="none" w:sz="0" w:space="0" w:color="auto"/>
          </w:divBdr>
        </w:div>
        <w:div w:id="321927683">
          <w:marLeft w:val="720"/>
          <w:marRight w:val="0"/>
          <w:marTop w:val="0"/>
          <w:marBottom w:val="120"/>
          <w:divBdr>
            <w:top w:val="none" w:sz="0" w:space="0" w:color="auto"/>
            <w:left w:val="none" w:sz="0" w:space="0" w:color="auto"/>
            <w:bottom w:val="none" w:sz="0" w:space="0" w:color="auto"/>
            <w:right w:val="none" w:sz="0" w:space="0" w:color="auto"/>
          </w:divBdr>
        </w:div>
      </w:divsChild>
    </w:div>
    <w:div w:id="572550804">
      <w:bodyDiv w:val="1"/>
      <w:marLeft w:val="0"/>
      <w:marRight w:val="0"/>
      <w:marTop w:val="0"/>
      <w:marBottom w:val="0"/>
      <w:divBdr>
        <w:top w:val="none" w:sz="0" w:space="0" w:color="auto"/>
        <w:left w:val="none" w:sz="0" w:space="0" w:color="auto"/>
        <w:bottom w:val="none" w:sz="0" w:space="0" w:color="auto"/>
        <w:right w:val="none" w:sz="0" w:space="0" w:color="auto"/>
      </w:divBdr>
      <w:divsChild>
        <w:div w:id="392240604">
          <w:marLeft w:val="274"/>
          <w:marRight w:val="0"/>
          <w:marTop w:val="0"/>
          <w:marBottom w:val="0"/>
          <w:divBdr>
            <w:top w:val="none" w:sz="0" w:space="0" w:color="auto"/>
            <w:left w:val="none" w:sz="0" w:space="0" w:color="auto"/>
            <w:bottom w:val="none" w:sz="0" w:space="0" w:color="auto"/>
            <w:right w:val="none" w:sz="0" w:space="0" w:color="auto"/>
          </w:divBdr>
        </w:div>
        <w:div w:id="593050284">
          <w:marLeft w:val="274"/>
          <w:marRight w:val="0"/>
          <w:marTop w:val="0"/>
          <w:marBottom w:val="0"/>
          <w:divBdr>
            <w:top w:val="none" w:sz="0" w:space="0" w:color="auto"/>
            <w:left w:val="none" w:sz="0" w:space="0" w:color="auto"/>
            <w:bottom w:val="none" w:sz="0" w:space="0" w:color="auto"/>
            <w:right w:val="none" w:sz="0" w:space="0" w:color="auto"/>
          </w:divBdr>
        </w:div>
        <w:div w:id="1769496653">
          <w:marLeft w:val="274"/>
          <w:marRight w:val="0"/>
          <w:marTop w:val="0"/>
          <w:marBottom w:val="0"/>
          <w:divBdr>
            <w:top w:val="none" w:sz="0" w:space="0" w:color="auto"/>
            <w:left w:val="none" w:sz="0" w:space="0" w:color="auto"/>
            <w:bottom w:val="none" w:sz="0" w:space="0" w:color="auto"/>
            <w:right w:val="none" w:sz="0" w:space="0" w:color="auto"/>
          </w:divBdr>
        </w:div>
      </w:divsChild>
    </w:div>
    <w:div w:id="648634431">
      <w:bodyDiv w:val="1"/>
      <w:marLeft w:val="0"/>
      <w:marRight w:val="0"/>
      <w:marTop w:val="0"/>
      <w:marBottom w:val="0"/>
      <w:divBdr>
        <w:top w:val="none" w:sz="0" w:space="0" w:color="auto"/>
        <w:left w:val="none" w:sz="0" w:space="0" w:color="auto"/>
        <w:bottom w:val="none" w:sz="0" w:space="0" w:color="auto"/>
        <w:right w:val="none" w:sz="0" w:space="0" w:color="auto"/>
      </w:divBdr>
      <w:divsChild>
        <w:div w:id="114836863">
          <w:marLeft w:val="274"/>
          <w:marRight w:val="0"/>
          <w:marTop w:val="0"/>
          <w:marBottom w:val="0"/>
          <w:divBdr>
            <w:top w:val="none" w:sz="0" w:space="0" w:color="auto"/>
            <w:left w:val="none" w:sz="0" w:space="0" w:color="auto"/>
            <w:bottom w:val="none" w:sz="0" w:space="0" w:color="auto"/>
            <w:right w:val="none" w:sz="0" w:space="0" w:color="auto"/>
          </w:divBdr>
        </w:div>
        <w:div w:id="647515158">
          <w:marLeft w:val="274"/>
          <w:marRight w:val="0"/>
          <w:marTop w:val="0"/>
          <w:marBottom w:val="0"/>
          <w:divBdr>
            <w:top w:val="none" w:sz="0" w:space="0" w:color="auto"/>
            <w:left w:val="none" w:sz="0" w:space="0" w:color="auto"/>
            <w:bottom w:val="none" w:sz="0" w:space="0" w:color="auto"/>
            <w:right w:val="none" w:sz="0" w:space="0" w:color="auto"/>
          </w:divBdr>
        </w:div>
        <w:div w:id="1088693376">
          <w:marLeft w:val="274"/>
          <w:marRight w:val="0"/>
          <w:marTop w:val="0"/>
          <w:marBottom w:val="0"/>
          <w:divBdr>
            <w:top w:val="none" w:sz="0" w:space="0" w:color="auto"/>
            <w:left w:val="none" w:sz="0" w:space="0" w:color="auto"/>
            <w:bottom w:val="none" w:sz="0" w:space="0" w:color="auto"/>
            <w:right w:val="none" w:sz="0" w:space="0" w:color="auto"/>
          </w:divBdr>
        </w:div>
        <w:div w:id="1456633470">
          <w:marLeft w:val="274"/>
          <w:marRight w:val="0"/>
          <w:marTop w:val="0"/>
          <w:marBottom w:val="0"/>
          <w:divBdr>
            <w:top w:val="none" w:sz="0" w:space="0" w:color="auto"/>
            <w:left w:val="none" w:sz="0" w:space="0" w:color="auto"/>
            <w:bottom w:val="none" w:sz="0" w:space="0" w:color="auto"/>
            <w:right w:val="none" w:sz="0" w:space="0" w:color="auto"/>
          </w:divBdr>
        </w:div>
        <w:div w:id="1645769459">
          <w:marLeft w:val="274"/>
          <w:marRight w:val="0"/>
          <w:marTop w:val="0"/>
          <w:marBottom w:val="0"/>
          <w:divBdr>
            <w:top w:val="none" w:sz="0" w:space="0" w:color="auto"/>
            <w:left w:val="none" w:sz="0" w:space="0" w:color="auto"/>
            <w:bottom w:val="none" w:sz="0" w:space="0" w:color="auto"/>
            <w:right w:val="none" w:sz="0" w:space="0" w:color="auto"/>
          </w:divBdr>
        </w:div>
        <w:div w:id="1717462551">
          <w:marLeft w:val="274"/>
          <w:marRight w:val="0"/>
          <w:marTop w:val="0"/>
          <w:marBottom w:val="0"/>
          <w:divBdr>
            <w:top w:val="none" w:sz="0" w:space="0" w:color="auto"/>
            <w:left w:val="none" w:sz="0" w:space="0" w:color="auto"/>
            <w:bottom w:val="none" w:sz="0" w:space="0" w:color="auto"/>
            <w:right w:val="none" w:sz="0" w:space="0" w:color="auto"/>
          </w:divBdr>
        </w:div>
        <w:div w:id="2108886369">
          <w:marLeft w:val="274"/>
          <w:marRight w:val="0"/>
          <w:marTop w:val="0"/>
          <w:marBottom w:val="0"/>
          <w:divBdr>
            <w:top w:val="none" w:sz="0" w:space="0" w:color="auto"/>
            <w:left w:val="none" w:sz="0" w:space="0" w:color="auto"/>
            <w:bottom w:val="none" w:sz="0" w:space="0" w:color="auto"/>
            <w:right w:val="none" w:sz="0" w:space="0" w:color="auto"/>
          </w:divBdr>
        </w:div>
      </w:divsChild>
    </w:div>
    <w:div w:id="660962014">
      <w:bodyDiv w:val="1"/>
      <w:marLeft w:val="0"/>
      <w:marRight w:val="0"/>
      <w:marTop w:val="0"/>
      <w:marBottom w:val="0"/>
      <w:divBdr>
        <w:top w:val="none" w:sz="0" w:space="0" w:color="auto"/>
        <w:left w:val="none" w:sz="0" w:space="0" w:color="auto"/>
        <w:bottom w:val="none" w:sz="0" w:space="0" w:color="auto"/>
        <w:right w:val="none" w:sz="0" w:space="0" w:color="auto"/>
      </w:divBdr>
      <w:divsChild>
        <w:div w:id="621034479">
          <w:marLeft w:val="274"/>
          <w:marRight w:val="0"/>
          <w:marTop w:val="0"/>
          <w:marBottom w:val="0"/>
          <w:divBdr>
            <w:top w:val="none" w:sz="0" w:space="0" w:color="auto"/>
            <w:left w:val="none" w:sz="0" w:space="0" w:color="auto"/>
            <w:bottom w:val="none" w:sz="0" w:space="0" w:color="auto"/>
            <w:right w:val="none" w:sz="0" w:space="0" w:color="auto"/>
          </w:divBdr>
        </w:div>
        <w:div w:id="1336106966">
          <w:marLeft w:val="274"/>
          <w:marRight w:val="0"/>
          <w:marTop w:val="0"/>
          <w:marBottom w:val="0"/>
          <w:divBdr>
            <w:top w:val="none" w:sz="0" w:space="0" w:color="auto"/>
            <w:left w:val="none" w:sz="0" w:space="0" w:color="auto"/>
            <w:bottom w:val="none" w:sz="0" w:space="0" w:color="auto"/>
            <w:right w:val="none" w:sz="0" w:space="0" w:color="auto"/>
          </w:divBdr>
        </w:div>
        <w:div w:id="1393000047">
          <w:marLeft w:val="274"/>
          <w:marRight w:val="0"/>
          <w:marTop w:val="0"/>
          <w:marBottom w:val="0"/>
          <w:divBdr>
            <w:top w:val="none" w:sz="0" w:space="0" w:color="auto"/>
            <w:left w:val="none" w:sz="0" w:space="0" w:color="auto"/>
            <w:bottom w:val="none" w:sz="0" w:space="0" w:color="auto"/>
            <w:right w:val="none" w:sz="0" w:space="0" w:color="auto"/>
          </w:divBdr>
        </w:div>
        <w:div w:id="1621567566">
          <w:marLeft w:val="274"/>
          <w:marRight w:val="0"/>
          <w:marTop w:val="0"/>
          <w:marBottom w:val="0"/>
          <w:divBdr>
            <w:top w:val="none" w:sz="0" w:space="0" w:color="auto"/>
            <w:left w:val="none" w:sz="0" w:space="0" w:color="auto"/>
            <w:bottom w:val="none" w:sz="0" w:space="0" w:color="auto"/>
            <w:right w:val="none" w:sz="0" w:space="0" w:color="auto"/>
          </w:divBdr>
        </w:div>
      </w:divsChild>
    </w:div>
    <w:div w:id="704216133">
      <w:bodyDiv w:val="1"/>
      <w:marLeft w:val="0"/>
      <w:marRight w:val="0"/>
      <w:marTop w:val="0"/>
      <w:marBottom w:val="0"/>
      <w:divBdr>
        <w:top w:val="none" w:sz="0" w:space="0" w:color="auto"/>
        <w:left w:val="none" w:sz="0" w:space="0" w:color="auto"/>
        <w:bottom w:val="none" w:sz="0" w:space="0" w:color="auto"/>
        <w:right w:val="none" w:sz="0" w:space="0" w:color="auto"/>
      </w:divBdr>
      <w:divsChild>
        <w:div w:id="1596285476">
          <w:marLeft w:val="360"/>
          <w:marRight w:val="0"/>
          <w:marTop w:val="115"/>
          <w:marBottom w:val="0"/>
          <w:divBdr>
            <w:top w:val="none" w:sz="0" w:space="0" w:color="auto"/>
            <w:left w:val="none" w:sz="0" w:space="0" w:color="auto"/>
            <w:bottom w:val="none" w:sz="0" w:space="0" w:color="auto"/>
            <w:right w:val="none" w:sz="0" w:space="0" w:color="auto"/>
          </w:divBdr>
        </w:div>
      </w:divsChild>
    </w:div>
    <w:div w:id="820077653">
      <w:bodyDiv w:val="1"/>
      <w:marLeft w:val="0"/>
      <w:marRight w:val="0"/>
      <w:marTop w:val="0"/>
      <w:marBottom w:val="0"/>
      <w:divBdr>
        <w:top w:val="none" w:sz="0" w:space="0" w:color="auto"/>
        <w:left w:val="none" w:sz="0" w:space="0" w:color="auto"/>
        <w:bottom w:val="none" w:sz="0" w:space="0" w:color="auto"/>
        <w:right w:val="none" w:sz="0" w:space="0" w:color="auto"/>
      </w:divBdr>
      <w:divsChild>
        <w:div w:id="358161818">
          <w:marLeft w:val="360"/>
          <w:marRight w:val="0"/>
          <w:marTop w:val="0"/>
          <w:marBottom w:val="0"/>
          <w:divBdr>
            <w:top w:val="none" w:sz="0" w:space="0" w:color="auto"/>
            <w:left w:val="none" w:sz="0" w:space="0" w:color="auto"/>
            <w:bottom w:val="none" w:sz="0" w:space="0" w:color="auto"/>
            <w:right w:val="none" w:sz="0" w:space="0" w:color="auto"/>
          </w:divBdr>
        </w:div>
      </w:divsChild>
    </w:div>
    <w:div w:id="823006140">
      <w:bodyDiv w:val="1"/>
      <w:marLeft w:val="0"/>
      <w:marRight w:val="0"/>
      <w:marTop w:val="0"/>
      <w:marBottom w:val="0"/>
      <w:divBdr>
        <w:top w:val="none" w:sz="0" w:space="0" w:color="auto"/>
        <w:left w:val="none" w:sz="0" w:space="0" w:color="auto"/>
        <w:bottom w:val="none" w:sz="0" w:space="0" w:color="auto"/>
        <w:right w:val="none" w:sz="0" w:space="0" w:color="auto"/>
      </w:divBdr>
    </w:div>
    <w:div w:id="877425430">
      <w:bodyDiv w:val="1"/>
      <w:marLeft w:val="0"/>
      <w:marRight w:val="0"/>
      <w:marTop w:val="0"/>
      <w:marBottom w:val="0"/>
      <w:divBdr>
        <w:top w:val="none" w:sz="0" w:space="0" w:color="auto"/>
        <w:left w:val="none" w:sz="0" w:space="0" w:color="auto"/>
        <w:bottom w:val="none" w:sz="0" w:space="0" w:color="auto"/>
        <w:right w:val="none" w:sz="0" w:space="0" w:color="auto"/>
      </w:divBdr>
    </w:div>
    <w:div w:id="917249546">
      <w:bodyDiv w:val="1"/>
      <w:marLeft w:val="0"/>
      <w:marRight w:val="0"/>
      <w:marTop w:val="0"/>
      <w:marBottom w:val="0"/>
      <w:divBdr>
        <w:top w:val="none" w:sz="0" w:space="0" w:color="auto"/>
        <w:left w:val="none" w:sz="0" w:space="0" w:color="auto"/>
        <w:bottom w:val="none" w:sz="0" w:space="0" w:color="auto"/>
        <w:right w:val="none" w:sz="0" w:space="0" w:color="auto"/>
      </w:divBdr>
      <w:divsChild>
        <w:div w:id="677997845">
          <w:marLeft w:val="907"/>
          <w:marRight w:val="0"/>
          <w:marTop w:val="120"/>
          <w:marBottom w:val="0"/>
          <w:divBdr>
            <w:top w:val="none" w:sz="0" w:space="0" w:color="auto"/>
            <w:left w:val="none" w:sz="0" w:space="0" w:color="auto"/>
            <w:bottom w:val="none" w:sz="0" w:space="0" w:color="auto"/>
            <w:right w:val="none" w:sz="0" w:space="0" w:color="auto"/>
          </w:divBdr>
        </w:div>
        <w:div w:id="766652033">
          <w:marLeft w:val="907"/>
          <w:marRight w:val="0"/>
          <w:marTop w:val="120"/>
          <w:marBottom w:val="0"/>
          <w:divBdr>
            <w:top w:val="none" w:sz="0" w:space="0" w:color="auto"/>
            <w:left w:val="none" w:sz="0" w:space="0" w:color="auto"/>
            <w:bottom w:val="none" w:sz="0" w:space="0" w:color="auto"/>
            <w:right w:val="none" w:sz="0" w:space="0" w:color="auto"/>
          </w:divBdr>
        </w:div>
        <w:div w:id="1038120576">
          <w:marLeft w:val="907"/>
          <w:marRight w:val="0"/>
          <w:marTop w:val="120"/>
          <w:marBottom w:val="0"/>
          <w:divBdr>
            <w:top w:val="none" w:sz="0" w:space="0" w:color="auto"/>
            <w:left w:val="none" w:sz="0" w:space="0" w:color="auto"/>
            <w:bottom w:val="none" w:sz="0" w:space="0" w:color="auto"/>
            <w:right w:val="none" w:sz="0" w:space="0" w:color="auto"/>
          </w:divBdr>
        </w:div>
        <w:div w:id="1121345698">
          <w:marLeft w:val="907"/>
          <w:marRight w:val="0"/>
          <w:marTop w:val="120"/>
          <w:marBottom w:val="0"/>
          <w:divBdr>
            <w:top w:val="none" w:sz="0" w:space="0" w:color="auto"/>
            <w:left w:val="none" w:sz="0" w:space="0" w:color="auto"/>
            <w:bottom w:val="none" w:sz="0" w:space="0" w:color="auto"/>
            <w:right w:val="none" w:sz="0" w:space="0" w:color="auto"/>
          </w:divBdr>
        </w:div>
        <w:div w:id="1223757803">
          <w:marLeft w:val="360"/>
          <w:marRight w:val="0"/>
          <w:marTop w:val="120"/>
          <w:marBottom w:val="0"/>
          <w:divBdr>
            <w:top w:val="none" w:sz="0" w:space="0" w:color="auto"/>
            <w:left w:val="none" w:sz="0" w:space="0" w:color="auto"/>
            <w:bottom w:val="none" w:sz="0" w:space="0" w:color="auto"/>
            <w:right w:val="none" w:sz="0" w:space="0" w:color="auto"/>
          </w:divBdr>
        </w:div>
        <w:div w:id="1909798950">
          <w:marLeft w:val="360"/>
          <w:marRight w:val="0"/>
          <w:marTop w:val="120"/>
          <w:marBottom w:val="0"/>
          <w:divBdr>
            <w:top w:val="none" w:sz="0" w:space="0" w:color="auto"/>
            <w:left w:val="none" w:sz="0" w:space="0" w:color="auto"/>
            <w:bottom w:val="none" w:sz="0" w:space="0" w:color="auto"/>
            <w:right w:val="none" w:sz="0" w:space="0" w:color="auto"/>
          </w:divBdr>
        </w:div>
        <w:div w:id="2036734028">
          <w:marLeft w:val="907"/>
          <w:marRight w:val="0"/>
          <w:marTop w:val="120"/>
          <w:marBottom w:val="0"/>
          <w:divBdr>
            <w:top w:val="none" w:sz="0" w:space="0" w:color="auto"/>
            <w:left w:val="none" w:sz="0" w:space="0" w:color="auto"/>
            <w:bottom w:val="none" w:sz="0" w:space="0" w:color="auto"/>
            <w:right w:val="none" w:sz="0" w:space="0" w:color="auto"/>
          </w:divBdr>
        </w:div>
      </w:divsChild>
    </w:div>
    <w:div w:id="957878766">
      <w:bodyDiv w:val="1"/>
      <w:marLeft w:val="0"/>
      <w:marRight w:val="0"/>
      <w:marTop w:val="0"/>
      <w:marBottom w:val="0"/>
      <w:divBdr>
        <w:top w:val="none" w:sz="0" w:space="0" w:color="auto"/>
        <w:left w:val="none" w:sz="0" w:space="0" w:color="auto"/>
        <w:bottom w:val="none" w:sz="0" w:space="0" w:color="auto"/>
        <w:right w:val="none" w:sz="0" w:space="0" w:color="auto"/>
      </w:divBdr>
      <w:divsChild>
        <w:div w:id="963971658">
          <w:marLeft w:val="0"/>
          <w:marRight w:val="0"/>
          <w:marTop w:val="0"/>
          <w:marBottom w:val="0"/>
          <w:divBdr>
            <w:top w:val="none" w:sz="0" w:space="0" w:color="auto"/>
            <w:left w:val="none" w:sz="0" w:space="0" w:color="auto"/>
            <w:bottom w:val="none" w:sz="0" w:space="0" w:color="auto"/>
            <w:right w:val="none" w:sz="0" w:space="0" w:color="auto"/>
          </w:divBdr>
          <w:divsChild>
            <w:div w:id="38015452">
              <w:marLeft w:val="0"/>
              <w:marRight w:val="0"/>
              <w:marTop w:val="0"/>
              <w:marBottom w:val="0"/>
              <w:divBdr>
                <w:top w:val="none" w:sz="0" w:space="0" w:color="auto"/>
                <w:left w:val="none" w:sz="0" w:space="0" w:color="auto"/>
                <w:bottom w:val="none" w:sz="0" w:space="0" w:color="auto"/>
                <w:right w:val="none" w:sz="0" w:space="0" w:color="auto"/>
              </w:divBdr>
              <w:divsChild>
                <w:div w:id="1391346422">
                  <w:marLeft w:val="0"/>
                  <w:marRight w:val="0"/>
                  <w:marTop w:val="0"/>
                  <w:marBottom w:val="0"/>
                  <w:divBdr>
                    <w:top w:val="none" w:sz="0" w:space="0" w:color="auto"/>
                    <w:left w:val="none" w:sz="0" w:space="0" w:color="auto"/>
                    <w:bottom w:val="none" w:sz="0" w:space="0" w:color="auto"/>
                    <w:right w:val="none" w:sz="0" w:space="0" w:color="auto"/>
                  </w:divBdr>
                  <w:divsChild>
                    <w:div w:id="1582718781">
                      <w:marLeft w:val="0"/>
                      <w:marRight w:val="0"/>
                      <w:marTop w:val="0"/>
                      <w:marBottom w:val="0"/>
                      <w:divBdr>
                        <w:top w:val="none" w:sz="0" w:space="0" w:color="auto"/>
                        <w:left w:val="none" w:sz="0" w:space="0" w:color="auto"/>
                        <w:bottom w:val="none" w:sz="0" w:space="0" w:color="auto"/>
                        <w:right w:val="none" w:sz="0" w:space="0" w:color="auto"/>
                      </w:divBdr>
                      <w:divsChild>
                        <w:div w:id="17724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4290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5">
          <w:marLeft w:val="360"/>
          <w:marRight w:val="0"/>
          <w:marTop w:val="96"/>
          <w:marBottom w:val="0"/>
          <w:divBdr>
            <w:top w:val="none" w:sz="0" w:space="0" w:color="auto"/>
            <w:left w:val="none" w:sz="0" w:space="0" w:color="auto"/>
            <w:bottom w:val="none" w:sz="0" w:space="0" w:color="auto"/>
            <w:right w:val="none" w:sz="0" w:space="0" w:color="auto"/>
          </w:divBdr>
        </w:div>
      </w:divsChild>
    </w:div>
    <w:div w:id="1086924774">
      <w:bodyDiv w:val="1"/>
      <w:marLeft w:val="0"/>
      <w:marRight w:val="0"/>
      <w:marTop w:val="0"/>
      <w:marBottom w:val="0"/>
      <w:divBdr>
        <w:top w:val="none" w:sz="0" w:space="0" w:color="auto"/>
        <w:left w:val="none" w:sz="0" w:space="0" w:color="auto"/>
        <w:bottom w:val="none" w:sz="0" w:space="0" w:color="auto"/>
        <w:right w:val="none" w:sz="0" w:space="0" w:color="auto"/>
      </w:divBdr>
    </w:div>
    <w:div w:id="1154420123">
      <w:bodyDiv w:val="1"/>
      <w:marLeft w:val="0"/>
      <w:marRight w:val="0"/>
      <w:marTop w:val="0"/>
      <w:marBottom w:val="0"/>
      <w:divBdr>
        <w:top w:val="none" w:sz="0" w:space="0" w:color="auto"/>
        <w:left w:val="none" w:sz="0" w:space="0" w:color="auto"/>
        <w:bottom w:val="none" w:sz="0" w:space="0" w:color="auto"/>
        <w:right w:val="none" w:sz="0" w:space="0" w:color="auto"/>
      </w:divBdr>
    </w:div>
    <w:div w:id="1187913252">
      <w:bodyDiv w:val="1"/>
      <w:marLeft w:val="0"/>
      <w:marRight w:val="0"/>
      <w:marTop w:val="0"/>
      <w:marBottom w:val="0"/>
      <w:divBdr>
        <w:top w:val="none" w:sz="0" w:space="0" w:color="auto"/>
        <w:left w:val="none" w:sz="0" w:space="0" w:color="auto"/>
        <w:bottom w:val="none" w:sz="0" w:space="0" w:color="auto"/>
        <w:right w:val="none" w:sz="0" w:space="0" w:color="auto"/>
      </w:divBdr>
    </w:div>
    <w:div w:id="1260719116">
      <w:bodyDiv w:val="1"/>
      <w:marLeft w:val="0"/>
      <w:marRight w:val="0"/>
      <w:marTop w:val="0"/>
      <w:marBottom w:val="0"/>
      <w:divBdr>
        <w:top w:val="none" w:sz="0" w:space="0" w:color="auto"/>
        <w:left w:val="none" w:sz="0" w:space="0" w:color="auto"/>
        <w:bottom w:val="none" w:sz="0" w:space="0" w:color="auto"/>
        <w:right w:val="none" w:sz="0" w:space="0" w:color="auto"/>
      </w:divBdr>
    </w:div>
    <w:div w:id="1306619120">
      <w:bodyDiv w:val="1"/>
      <w:marLeft w:val="0"/>
      <w:marRight w:val="0"/>
      <w:marTop w:val="0"/>
      <w:marBottom w:val="0"/>
      <w:divBdr>
        <w:top w:val="none" w:sz="0" w:space="0" w:color="auto"/>
        <w:left w:val="none" w:sz="0" w:space="0" w:color="auto"/>
        <w:bottom w:val="none" w:sz="0" w:space="0" w:color="auto"/>
        <w:right w:val="none" w:sz="0" w:space="0" w:color="auto"/>
      </w:divBdr>
    </w:div>
    <w:div w:id="1314069663">
      <w:bodyDiv w:val="1"/>
      <w:marLeft w:val="0"/>
      <w:marRight w:val="0"/>
      <w:marTop w:val="0"/>
      <w:marBottom w:val="0"/>
      <w:divBdr>
        <w:top w:val="none" w:sz="0" w:space="0" w:color="auto"/>
        <w:left w:val="none" w:sz="0" w:space="0" w:color="auto"/>
        <w:bottom w:val="none" w:sz="0" w:space="0" w:color="auto"/>
        <w:right w:val="none" w:sz="0" w:space="0" w:color="auto"/>
      </w:divBdr>
    </w:div>
    <w:div w:id="1330719839">
      <w:bodyDiv w:val="1"/>
      <w:marLeft w:val="0"/>
      <w:marRight w:val="0"/>
      <w:marTop w:val="0"/>
      <w:marBottom w:val="0"/>
      <w:divBdr>
        <w:top w:val="none" w:sz="0" w:space="0" w:color="auto"/>
        <w:left w:val="none" w:sz="0" w:space="0" w:color="auto"/>
        <w:bottom w:val="none" w:sz="0" w:space="0" w:color="auto"/>
        <w:right w:val="none" w:sz="0" w:space="0" w:color="auto"/>
      </w:divBdr>
      <w:divsChild>
        <w:div w:id="906767622">
          <w:marLeft w:val="360"/>
          <w:marRight w:val="0"/>
          <w:marTop w:val="91"/>
          <w:marBottom w:val="0"/>
          <w:divBdr>
            <w:top w:val="none" w:sz="0" w:space="0" w:color="auto"/>
            <w:left w:val="none" w:sz="0" w:space="0" w:color="auto"/>
            <w:bottom w:val="none" w:sz="0" w:space="0" w:color="auto"/>
            <w:right w:val="none" w:sz="0" w:space="0" w:color="auto"/>
          </w:divBdr>
        </w:div>
      </w:divsChild>
    </w:div>
    <w:div w:id="1527937701">
      <w:bodyDiv w:val="1"/>
      <w:marLeft w:val="0"/>
      <w:marRight w:val="0"/>
      <w:marTop w:val="0"/>
      <w:marBottom w:val="0"/>
      <w:divBdr>
        <w:top w:val="none" w:sz="0" w:space="0" w:color="auto"/>
        <w:left w:val="none" w:sz="0" w:space="0" w:color="auto"/>
        <w:bottom w:val="none" w:sz="0" w:space="0" w:color="auto"/>
        <w:right w:val="none" w:sz="0" w:space="0" w:color="auto"/>
      </w:divBdr>
    </w:div>
    <w:div w:id="1671131215">
      <w:bodyDiv w:val="1"/>
      <w:marLeft w:val="0"/>
      <w:marRight w:val="0"/>
      <w:marTop w:val="0"/>
      <w:marBottom w:val="0"/>
      <w:divBdr>
        <w:top w:val="none" w:sz="0" w:space="0" w:color="auto"/>
        <w:left w:val="none" w:sz="0" w:space="0" w:color="auto"/>
        <w:bottom w:val="none" w:sz="0" w:space="0" w:color="auto"/>
        <w:right w:val="none" w:sz="0" w:space="0" w:color="auto"/>
      </w:divBdr>
      <w:divsChild>
        <w:div w:id="1526669961">
          <w:marLeft w:val="0"/>
          <w:marRight w:val="0"/>
          <w:marTop w:val="0"/>
          <w:marBottom w:val="0"/>
          <w:divBdr>
            <w:top w:val="none" w:sz="0" w:space="0" w:color="auto"/>
            <w:left w:val="none" w:sz="0" w:space="0" w:color="auto"/>
            <w:bottom w:val="none" w:sz="0" w:space="0" w:color="auto"/>
            <w:right w:val="none" w:sz="0" w:space="0" w:color="auto"/>
          </w:divBdr>
          <w:divsChild>
            <w:div w:id="2062289950">
              <w:marLeft w:val="0"/>
              <w:marRight w:val="0"/>
              <w:marTop w:val="0"/>
              <w:marBottom w:val="0"/>
              <w:divBdr>
                <w:top w:val="none" w:sz="0" w:space="0" w:color="auto"/>
                <w:left w:val="none" w:sz="0" w:space="0" w:color="auto"/>
                <w:bottom w:val="none" w:sz="0" w:space="0" w:color="auto"/>
                <w:right w:val="none" w:sz="0" w:space="0" w:color="auto"/>
              </w:divBdr>
              <w:divsChild>
                <w:div w:id="2610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228">
      <w:bodyDiv w:val="1"/>
      <w:marLeft w:val="0"/>
      <w:marRight w:val="0"/>
      <w:marTop w:val="0"/>
      <w:marBottom w:val="0"/>
      <w:divBdr>
        <w:top w:val="none" w:sz="0" w:space="0" w:color="auto"/>
        <w:left w:val="none" w:sz="0" w:space="0" w:color="auto"/>
        <w:bottom w:val="none" w:sz="0" w:space="0" w:color="auto"/>
        <w:right w:val="none" w:sz="0" w:space="0" w:color="auto"/>
      </w:divBdr>
      <w:divsChild>
        <w:div w:id="1355766122">
          <w:marLeft w:val="274"/>
          <w:marRight w:val="0"/>
          <w:marTop w:val="0"/>
          <w:marBottom w:val="0"/>
          <w:divBdr>
            <w:top w:val="none" w:sz="0" w:space="0" w:color="auto"/>
            <w:left w:val="none" w:sz="0" w:space="0" w:color="auto"/>
            <w:bottom w:val="none" w:sz="0" w:space="0" w:color="auto"/>
            <w:right w:val="none" w:sz="0" w:space="0" w:color="auto"/>
          </w:divBdr>
        </w:div>
        <w:div w:id="1518813264">
          <w:marLeft w:val="274"/>
          <w:marRight w:val="0"/>
          <w:marTop w:val="0"/>
          <w:marBottom w:val="0"/>
          <w:divBdr>
            <w:top w:val="none" w:sz="0" w:space="0" w:color="auto"/>
            <w:left w:val="none" w:sz="0" w:space="0" w:color="auto"/>
            <w:bottom w:val="none" w:sz="0" w:space="0" w:color="auto"/>
            <w:right w:val="none" w:sz="0" w:space="0" w:color="auto"/>
          </w:divBdr>
        </w:div>
      </w:divsChild>
    </w:div>
    <w:div w:id="1796681066">
      <w:bodyDiv w:val="1"/>
      <w:marLeft w:val="0"/>
      <w:marRight w:val="0"/>
      <w:marTop w:val="0"/>
      <w:marBottom w:val="0"/>
      <w:divBdr>
        <w:top w:val="none" w:sz="0" w:space="0" w:color="auto"/>
        <w:left w:val="none" w:sz="0" w:space="0" w:color="auto"/>
        <w:bottom w:val="none" w:sz="0" w:space="0" w:color="auto"/>
        <w:right w:val="none" w:sz="0" w:space="0" w:color="auto"/>
      </w:divBdr>
    </w:div>
    <w:div w:id="1814759820">
      <w:bodyDiv w:val="1"/>
      <w:marLeft w:val="0"/>
      <w:marRight w:val="0"/>
      <w:marTop w:val="0"/>
      <w:marBottom w:val="0"/>
      <w:divBdr>
        <w:top w:val="none" w:sz="0" w:space="0" w:color="auto"/>
        <w:left w:val="none" w:sz="0" w:space="0" w:color="auto"/>
        <w:bottom w:val="none" w:sz="0" w:space="0" w:color="auto"/>
        <w:right w:val="none" w:sz="0" w:space="0" w:color="auto"/>
      </w:divBdr>
    </w:div>
    <w:div w:id="1917520467">
      <w:bodyDiv w:val="1"/>
      <w:marLeft w:val="0"/>
      <w:marRight w:val="0"/>
      <w:marTop w:val="0"/>
      <w:marBottom w:val="0"/>
      <w:divBdr>
        <w:top w:val="none" w:sz="0" w:space="0" w:color="auto"/>
        <w:left w:val="none" w:sz="0" w:space="0" w:color="auto"/>
        <w:bottom w:val="none" w:sz="0" w:space="0" w:color="auto"/>
        <w:right w:val="none" w:sz="0" w:space="0" w:color="auto"/>
      </w:divBdr>
      <w:divsChild>
        <w:div w:id="826868861">
          <w:marLeft w:val="274"/>
          <w:marRight w:val="0"/>
          <w:marTop w:val="0"/>
          <w:marBottom w:val="0"/>
          <w:divBdr>
            <w:top w:val="none" w:sz="0" w:space="0" w:color="auto"/>
            <w:left w:val="none" w:sz="0" w:space="0" w:color="auto"/>
            <w:bottom w:val="none" w:sz="0" w:space="0" w:color="auto"/>
            <w:right w:val="none" w:sz="0" w:space="0" w:color="auto"/>
          </w:divBdr>
        </w:div>
        <w:div w:id="886184895">
          <w:marLeft w:val="274"/>
          <w:marRight w:val="0"/>
          <w:marTop w:val="0"/>
          <w:marBottom w:val="0"/>
          <w:divBdr>
            <w:top w:val="none" w:sz="0" w:space="0" w:color="auto"/>
            <w:left w:val="none" w:sz="0" w:space="0" w:color="auto"/>
            <w:bottom w:val="none" w:sz="0" w:space="0" w:color="auto"/>
            <w:right w:val="none" w:sz="0" w:space="0" w:color="auto"/>
          </w:divBdr>
        </w:div>
        <w:div w:id="1146095252">
          <w:marLeft w:val="274"/>
          <w:marRight w:val="0"/>
          <w:marTop w:val="0"/>
          <w:marBottom w:val="0"/>
          <w:divBdr>
            <w:top w:val="none" w:sz="0" w:space="0" w:color="auto"/>
            <w:left w:val="none" w:sz="0" w:space="0" w:color="auto"/>
            <w:bottom w:val="none" w:sz="0" w:space="0" w:color="auto"/>
            <w:right w:val="none" w:sz="0" w:space="0" w:color="auto"/>
          </w:divBdr>
        </w:div>
        <w:div w:id="1535995851">
          <w:marLeft w:val="274"/>
          <w:marRight w:val="0"/>
          <w:marTop w:val="0"/>
          <w:marBottom w:val="0"/>
          <w:divBdr>
            <w:top w:val="none" w:sz="0" w:space="0" w:color="auto"/>
            <w:left w:val="none" w:sz="0" w:space="0" w:color="auto"/>
            <w:bottom w:val="none" w:sz="0" w:space="0" w:color="auto"/>
            <w:right w:val="none" w:sz="0" w:space="0" w:color="auto"/>
          </w:divBdr>
        </w:div>
        <w:div w:id="1558398786">
          <w:marLeft w:val="274"/>
          <w:marRight w:val="0"/>
          <w:marTop w:val="0"/>
          <w:marBottom w:val="0"/>
          <w:divBdr>
            <w:top w:val="none" w:sz="0" w:space="0" w:color="auto"/>
            <w:left w:val="none" w:sz="0" w:space="0" w:color="auto"/>
            <w:bottom w:val="none" w:sz="0" w:space="0" w:color="auto"/>
            <w:right w:val="none" w:sz="0" w:space="0" w:color="auto"/>
          </w:divBdr>
        </w:div>
        <w:div w:id="1659386448">
          <w:marLeft w:val="274"/>
          <w:marRight w:val="0"/>
          <w:marTop w:val="0"/>
          <w:marBottom w:val="0"/>
          <w:divBdr>
            <w:top w:val="none" w:sz="0" w:space="0" w:color="auto"/>
            <w:left w:val="none" w:sz="0" w:space="0" w:color="auto"/>
            <w:bottom w:val="none" w:sz="0" w:space="0" w:color="auto"/>
            <w:right w:val="none" w:sz="0" w:space="0" w:color="auto"/>
          </w:divBdr>
        </w:div>
        <w:div w:id="16865900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s://en.wikipedia.org/wiki/Converged_storag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s://en.wikipedia.org/wiki/Forrester_Research"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hyperlink" Target="https://en.wikipedia.org/wiki/Fibre_Channe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n.wikipedia.org/wiki/CIO_magazine" TargetMode="External"/><Relationship Id="rId32" Type="http://schemas.openxmlformats.org/officeDocument/2006/relationships/image" Target="media/image2.png"/><Relationship Id="rId37"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hyperlink" Target="https://en.wikipedia.org/wiki/Internet_Protocol"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s://en.wikipedia.org/wiki/Converged_infrastructu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hyperlink" Target="https://en.wikipedia.org/wiki/Wikibon" TargetMode="External"/><Relationship Id="rId30" Type="http://schemas.openxmlformats.org/officeDocument/2006/relationships/hyperlink" Target="https://en.wikipedia.org/wiki/Storage_area_network"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ikibon.org/wiki/v/Converged_Infrastructure_Takes_the_Market_by_Storm" TargetMode="External"/><Relationship Id="rId2" Type="http://schemas.openxmlformats.org/officeDocument/2006/relationships/hyperlink" Target="http://www.cio.co.ke/Opinion-and-Analysis/your-next-it-budget-6-ways-to-support-business-growth.html" TargetMode="External"/><Relationship Id="rId1" Type="http://schemas.openxmlformats.org/officeDocument/2006/relationships/hyperlink" Target="https://www.whitehouse.gov/sites/default/files/omb/memoranda/2016/m_16_19_1.pdf" TargetMode="External"/><Relationship Id="rId6" Type="http://schemas.openxmlformats.org/officeDocument/2006/relationships/hyperlink" Target="https://www.whitehouse.gov/the-press-office/2015/03/19/executive-order-planning-federal-sustainability-next-decade" TargetMode="External"/><Relationship Id="rId5" Type="http://schemas.openxmlformats.org/officeDocument/2006/relationships/hyperlink" Target="https://www.whitehouse.gov/sites/default/files/omb/assets/egov_docs/shared_services_strategy.pdf" TargetMode="External"/><Relationship Id="rId4" Type="http://schemas.openxmlformats.org/officeDocument/2006/relationships/hyperlink" Target="http://www.informationweek.com/news/hardware/data_centers/showArticle.jhtml?articleID=21590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_x002d_Type xmlns="CBBA9517-88EE-44FB-B96B-29CB825F5E3B">Stakeholder Materials</Document_x0020_Sub_x002d_Type>
    <Category xmlns="c699ad1f-3e7b-43eb-bfa9-1476ac8315df">Leadership</Category>
    <Description0 xmlns="c699ad1f-3e7b-43eb-bfa9-1476ac8315df" xsi:nil="true"/>
    <Document_x0020_Type xmlns="CBBA9517-88EE-44FB-B96B-29CB825F5E3B">Stakeholder Focus</Document_x0020_Type>
  </documentManagement>
</p:properties>
</file>

<file path=customXml/item10.xml><?xml version="1.0" encoding="utf-8"?>
<ct:contentTypeSchema xmlns:ct="http://schemas.microsoft.com/office/2006/metadata/contentType" xmlns:ma="http://schemas.microsoft.com/office/2006/metadata/properties/metaAttributes" ct:_="" ma:_="" ma:contentTypeName="Document" ma:contentTypeID="0x010100A5D0033F32953E40BD4B4F3C207FE74E" ma:contentTypeVersion="2" ma:contentTypeDescription="Create a new document." ma:contentTypeScope="" ma:versionID="685522dc88d749b8b3c09aae38fe9392">
  <xsd:schema xmlns:xsd="http://www.w3.org/2001/XMLSchema" xmlns:xs="http://www.w3.org/2001/XMLSchema" xmlns:p="http://schemas.microsoft.com/office/2006/metadata/properties" xmlns:ns2="c0a539e5-cd07-4dc1-ab3b-82065fc22058" xmlns:ns3="CBBA9517-88EE-44FB-B96B-29CB825F5E3B" xmlns:ns4="c699ad1f-3e7b-43eb-bfa9-1476ac8315df" targetNamespace="http://schemas.microsoft.com/office/2006/metadata/properties" ma:root="true" ma:fieldsID="31b09012742d2a1db47c3e42c24ffdcd" ns2:_="" ns3:_="" ns4:_="">
    <xsd:import namespace="c0a539e5-cd07-4dc1-ab3b-82065fc22058"/>
    <xsd:import namespace="CBBA9517-88EE-44FB-B96B-29CB825F5E3B"/>
    <xsd:import namespace="c699ad1f-3e7b-43eb-bfa9-1476ac8315df"/>
    <xsd:element name="properties">
      <xsd:complexType>
        <xsd:sequence>
          <xsd:element name="documentManagement">
            <xsd:complexType>
              <xsd:all>
                <xsd:element ref="ns2:_dlc_DocId" minOccurs="0"/>
                <xsd:element ref="ns2:_dlc_DocIdUrl" minOccurs="0"/>
                <xsd:element ref="ns2:_dlc_DocIdPersistId" minOccurs="0"/>
                <xsd:element ref="ns3:Document_x0020_Sub_x002d_Type"/>
                <xsd:element ref="ns3:Document_x0020_Type"/>
                <xsd:element ref="ns4:Category"/>
                <xsd:element ref="ns4: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BA9517-88EE-44FB-B96B-29CB825F5E3B" elementFormDefault="qualified">
    <xsd:import namespace="http://schemas.microsoft.com/office/2006/documentManagement/types"/>
    <xsd:import namespace="http://schemas.microsoft.com/office/infopath/2007/PartnerControls"/>
    <xsd:element name="Document_x0020_Sub_x002d_Type" ma:index="11" ma:displayName="Document Sub-Type" ma:format="Dropdown" ma:internalName="Document_x0020_Sub_x002d_Type">
      <xsd:simpleType>
        <xsd:restriction base="dms:Choice">
          <xsd:enumeration value="Roster"/>
          <xsd:enumeration value="Workshop Materials"/>
          <xsd:enumeration value="Stakeholder Materials"/>
          <xsd:enumeration value="Investments"/>
          <xsd:enumeration value="Opportunities"/>
          <xsd:enumeration value="Transition Reccomendations"/>
          <xsd:enumeration value="Charter"/>
          <xsd:enumeration value="Minutes"/>
          <xsd:enumeration value="Briefing"/>
          <xsd:enumeration value="Project Plan"/>
          <xsd:enumeration value="Profile Information"/>
          <xsd:enumeration value="Drivers"/>
          <xsd:enumeration value="Business"/>
          <xsd:enumeration value="Information"/>
          <xsd:enumeration value="Systems"/>
          <xsd:enumeration value="Services"/>
          <xsd:enumeration value="Technology"/>
          <xsd:enumeration value="Performance"/>
          <xsd:enumeration value="Gap Analysis"/>
        </xsd:restriction>
      </xsd:simpleType>
    </xsd:element>
    <xsd:element name="Document_x0020_Type" ma:index="12" ma:displayName="Document Type" ma:format="Dropdown" ma:internalName="Document_x0020_Type">
      <xsd:simpleType>
        <xsd:restriction base="dms:Choice">
          <xsd:enumeration value="Stakeholder Focus"/>
          <xsd:enumeration value="Governance  Focus"/>
          <xsd:enumeration value="Architecture Focus"/>
        </xsd:restriction>
      </xsd:simpleType>
    </xsd:element>
  </xsd:schema>
  <xsd:schema xmlns:xsd="http://www.w3.org/2001/XMLSchema" xmlns:xs="http://www.w3.org/2001/XMLSchema" xmlns:dms="http://schemas.microsoft.com/office/2006/documentManagement/types" xmlns:pc="http://schemas.microsoft.com/office/infopath/2007/PartnerControls" targetNamespace="c699ad1f-3e7b-43eb-bfa9-1476ac8315df"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ITSM IPT"/>
          <xsd:enumeration value="Categorization and Classification"/>
          <xsd:enumeration value="DHS Policy and Governance"/>
          <xsd:enumeration value="Service Design and Operations"/>
          <xsd:enumeration value="Leadership"/>
          <xsd:enumeration value="Surge Support"/>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662482be-791f-46d4-86b5-fac5be26931c" ContentTypeId="0x0101" PreviousValue="false"/>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F4F15-3267-4785-B02C-8F68A4874CC7}">
  <ds:schemaRefs>
    <ds:schemaRef ds:uri="http://schemas.microsoft.com/office/2006/metadata/properties"/>
    <ds:schemaRef ds:uri="http://schemas.microsoft.com/office/infopath/2007/PartnerControls"/>
    <ds:schemaRef ds:uri="CBBA9517-88EE-44FB-B96B-29CB825F5E3B"/>
    <ds:schemaRef ds:uri="c699ad1f-3e7b-43eb-bfa9-1476ac8315df"/>
  </ds:schemaRefs>
</ds:datastoreItem>
</file>

<file path=customXml/itemProps10.xml><?xml version="1.0" encoding="utf-8"?>
<ds:datastoreItem xmlns:ds="http://schemas.openxmlformats.org/officeDocument/2006/customXml" ds:itemID="{37F06614-2FC2-4AD5-9246-909489C6E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CBBA9517-88EE-44FB-B96B-29CB825F5E3B"/>
    <ds:schemaRef ds:uri="c699ad1f-3e7b-43eb-bfa9-1476ac831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DAEBF029-E189-4005-A718-D37D7419ED29}">
  <ds:schemaRefs>
    <ds:schemaRef ds:uri="http://schemas.openxmlformats.org/officeDocument/2006/bibliography"/>
  </ds:schemaRefs>
</ds:datastoreItem>
</file>

<file path=customXml/itemProps12.xml><?xml version="1.0" encoding="utf-8"?>
<ds:datastoreItem xmlns:ds="http://schemas.openxmlformats.org/officeDocument/2006/customXml" ds:itemID="{CADF0174-CA89-4480-9813-C2B42C804849}">
  <ds:schemaRefs>
    <ds:schemaRef ds:uri="http://schemas.openxmlformats.org/officeDocument/2006/bibliography"/>
  </ds:schemaRefs>
</ds:datastoreItem>
</file>

<file path=customXml/itemProps13.xml><?xml version="1.0" encoding="utf-8"?>
<ds:datastoreItem xmlns:ds="http://schemas.openxmlformats.org/officeDocument/2006/customXml" ds:itemID="{FB9602D4-2157-4804-A796-90E12BE1EF35}">
  <ds:schemaRefs>
    <ds:schemaRef ds:uri="http://schemas.openxmlformats.org/officeDocument/2006/bibliography"/>
  </ds:schemaRefs>
</ds:datastoreItem>
</file>

<file path=customXml/itemProps2.xml><?xml version="1.0" encoding="utf-8"?>
<ds:datastoreItem xmlns:ds="http://schemas.openxmlformats.org/officeDocument/2006/customXml" ds:itemID="{E9A8F34D-62BC-40D9-AA52-BAD076942946}">
  <ds:schemaRefs>
    <ds:schemaRef ds:uri="Microsoft.SharePoint.Taxonomy.ContentTypeSync"/>
  </ds:schemaRefs>
</ds:datastoreItem>
</file>

<file path=customXml/itemProps3.xml><?xml version="1.0" encoding="utf-8"?>
<ds:datastoreItem xmlns:ds="http://schemas.openxmlformats.org/officeDocument/2006/customXml" ds:itemID="{ADD79B66-E66E-4D56-85EF-92F085412451}">
  <ds:schemaRefs>
    <ds:schemaRef ds:uri="http://schemas.microsoft.com/office/2006/metadata/longProperties"/>
  </ds:schemaRefs>
</ds:datastoreItem>
</file>

<file path=customXml/itemProps4.xml><?xml version="1.0" encoding="utf-8"?>
<ds:datastoreItem xmlns:ds="http://schemas.openxmlformats.org/officeDocument/2006/customXml" ds:itemID="{C45A9A5F-1DED-47F6-BAC1-0E1755C84131}">
  <ds:schemaRefs>
    <ds:schemaRef ds:uri="http://schemas.microsoft.com/sharepoint/events"/>
  </ds:schemaRefs>
</ds:datastoreItem>
</file>

<file path=customXml/itemProps5.xml><?xml version="1.0" encoding="utf-8"?>
<ds:datastoreItem xmlns:ds="http://schemas.openxmlformats.org/officeDocument/2006/customXml" ds:itemID="{E6F46C6F-A141-4942-A7B8-F46AD44930CD}">
  <ds:schemaRefs>
    <ds:schemaRef ds:uri="http://schemas.openxmlformats.org/officeDocument/2006/bibliography"/>
  </ds:schemaRefs>
</ds:datastoreItem>
</file>

<file path=customXml/itemProps6.xml><?xml version="1.0" encoding="utf-8"?>
<ds:datastoreItem xmlns:ds="http://schemas.openxmlformats.org/officeDocument/2006/customXml" ds:itemID="{73292B84-E0A4-439A-9CBC-C8F2C83CB612}">
  <ds:schemaRefs>
    <ds:schemaRef ds:uri="http://schemas.openxmlformats.org/officeDocument/2006/bibliography"/>
  </ds:schemaRefs>
</ds:datastoreItem>
</file>

<file path=customXml/itemProps7.xml><?xml version="1.0" encoding="utf-8"?>
<ds:datastoreItem xmlns:ds="http://schemas.openxmlformats.org/officeDocument/2006/customXml" ds:itemID="{9503C01B-A899-41B9-9C07-27DC14ECF1E0}">
  <ds:schemaRefs>
    <ds:schemaRef ds:uri="http://schemas.openxmlformats.org/officeDocument/2006/bibliography"/>
  </ds:schemaRefs>
</ds:datastoreItem>
</file>

<file path=customXml/itemProps8.xml><?xml version="1.0" encoding="utf-8"?>
<ds:datastoreItem xmlns:ds="http://schemas.openxmlformats.org/officeDocument/2006/customXml" ds:itemID="{11CBB028-EFEB-4ACF-8549-3BA9160DC801}">
  <ds:schemaRefs>
    <ds:schemaRef ds:uri="http://schemas.openxmlformats.org/officeDocument/2006/bibliography"/>
  </ds:schemaRefs>
</ds:datastoreItem>
</file>

<file path=customXml/itemProps9.xml><?xml version="1.0" encoding="utf-8"?>
<ds:datastoreItem xmlns:ds="http://schemas.openxmlformats.org/officeDocument/2006/customXml" ds:itemID="{D48BF913-49AD-4F13-B830-2DC45FA7A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14008</Words>
  <Characters>79847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FSM White Paper Final</vt:lpstr>
    </vt:vector>
  </TitlesOfParts>
  <LinksUpToDate>false</LinksUpToDate>
  <CharactersWithSpaces>93668</CharactersWithSpaces>
  <SharedDoc>false</SharedDoc>
  <HLinks>
    <vt:vector size="180" baseType="variant">
      <vt:variant>
        <vt:i4>1900593</vt:i4>
      </vt:variant>
      <vt:variant>
        <vt:i4>170</vt:i4>
      </vt:variant>
      <vt:variant>
        <vt:i4>0</vt:i4>
      </vt:variant>
      <vt:variant>
        <vt:i4>5</vt:i4>
      </vt:variant>
      <vt:variant>
        <vt:lpwstr/>
      </vt:variant>
      <vt:variant>
        <vt:lpwstr>_Toc300674581</vt:lpwstr>
      </vt:variant>
      <vt:variant>
        <vt:i4>1900593</vt:i4>
      </vt:variant>
      <vt:variant>
        <vt:i4>164</vt:i4>
      </vt:variant>
      <vt:variant>
        <vt:i4>0</vt:i4>
      </vt:variant>
      <vt:variant>
        <vt:i4>5</vt:i4>
      </vt:variant>
      <vt:variant>
        <vt:lpwstr/>
      </vt:variant>
      <vt:variant>
        <vt:lpwstr>_Toc300674580</vt:lpwstr>
      </vt:variant>
      <vt:variant>
        <vt:i4>1179697</vt:i4>
      </vt:variant>
      <vt:variant>
        <vt:i4>158</vt:i4>
      </vt:variant>
      <vt:variant>
        <vt:i4>0</vt:i4>
      </vt:variant>
      <vt:variant>
        <vt:i4>5</vt:i4>
      </vt:variant>
      <vt:variant>
        <vt:lpwstr/>
      </vt:variant>
      <vt:variant>
        <vt:lpwstr>_Toc300674579</vt:lpwstr>
      </vt:variant>
      <vt:variant>
        <vt:i4>1179697</vt:i4>
      </vt:variant>
      <vt:variant>
        <vt:i4>152</vt:i4>
      </vt:variant>
      <vt:variant>
        <vt:i4>0</vt:i4>
      </vt:variant>
      <vt:variant>
        <vt:i4>5</vt:i4>
      </vt:variant>
      <vt:variant>
        <vt:lpwstr/>
      </vt:variant>
      <vt:variant>
        <vt:lpwstr>_Toc300674578</vt:lpwstr>
      </vt:variant>
      <vt:variant>
        <vt:i4>1179697</vt:i4>
      </vt:variant>
      <vt:variant>
        <vt:i4>146</vt:i4>
      </vt:variant>
      <vt:variant>
        <vt:i4>0</vt:i4>
      </vt:variant>
      <vt:variant>
        <vt:i4>5</vt:i4>
      </vt:variant>
      <vt:variant>
        <vt:lpwstr/>
      </vt:variant>
      <vt:variant>
        <vt:lpwstr>_Toc300674577</vt:lpwstr>
      </vt:variant>
      <vt:variant>
        <vt:i4>1179697</vt:i4>
      </vt:variant>
      <vt:variant>
        <vt:i4>140</vt:i4>
      </vt:variant>
      <vt:variant>
        <vt:i4>0</vt:i4>
      </vt:variant>
      <vt:variant>
        <vt:i4>5</vt:i4>
      </vt:variant>
      <vt:variant>
        <vt:lpwstr/>
      </vt:variant>
      <vt:variant>
        <vt:lpwstr>_Toc300674576</vt:lpwstr>
      </vt:variant>
      <vt:variant>
        <vt:i4>1179697</vt:i4>
      </vt:variant>
      <vt:variant>
        <vt:i4>134</vt:i4>
      </vt:variant>
      <vt:variant>
        <vt:i4>0</vt:i4>
      </vt:variant>
      <vt:variant>
        <vt:i4>5</vt:i4>
      </vt:variant>
      <vt:variant>
        <vt:lpwstr/>
      </vt:variant>
      <vt:variant>
        <vt:lpwstr>_Toc300674575</vt:lpwstr>
      </vt:variant>
      <vt:variant>
        <vt:i4>1179697</vt:i4>
      </vt:variant>
      <vt:variant>
        <vt:i4>128</vt:i4>
      </vt:variant>
      <vt:variant>
        <vt:i4>0</vt:i4>
      </vt:variant>
      <vt:variant>
        <vt:i4>5</vt:i4>
      </vt:variant>
      <vt:variant>
        <vt:lpwstr/>
      </vt:variant>
      <vt:variant>
        <vt:lpwstr>_Toc300674574</vt:lpwstr>
      </vt:variant>
      <vt:variant>
        <vt:i4>1179697</vt:i4>
      </vt:variant>
      <vt:variant>
        <vt:i4>122</vt:i4>
      </vt:variant>
      <vt:variant>
        <vt:i4>0</vt:i4>
      </vt:variant>
      <vt:variant>
        <vt:i4>5</vt:i4>
      </vt:variant>
      <vt:variant>
        <vt:lpwstr/>
      </vt:variant>
      <vt:variant>
        <vt:lpwstr>_Toc300674573</vt:lpwstr>
      </vt:variant>
      <vt:variant>
        <vt:i4>1179697</vt:i4>
      </vt:variant>
      <vt:variant>
        <vt:i4>116</vt:i4>
      </vt:variant>
      <vt:variant>
        <vt:i4>0</vt:i4>
      </vt:variant>
      <vt:variant>
        <vt:i4>5</vt:i4>
      </vt:variant>
      <vt:variant>
        <vt:lpwstr/>
      </vt:variant>
      <vt:variant>
        <vt:lpwstr>_Toc300674572</vt:lpwstr>
      </vt:variant>
      <vt:variant>
        <vt:i4>1179697</vt:i4>
      </vt:variant>
      <vt:variant>
        <vt:i4>110</vt:i4>
      </vt:variant>
      <vt:variant>
        <vt:i4>0</vt:i4>
      </vt:variant>
      <vt:variant>
        <vt:i4>5</vt:i4>
      </vt:variant>
      <vt:variant>
        <vt:lpwstr/>
      </vt:variant>
      <vt:variant>
        <vt:lpwstr>_Toc300674571</vt:lpwstr>
      </vt:variant>
      <vt:variant>
        <vt:i4>1179697</vt:i4>
      </vt:variant>
      <vt:variant>
        <vt:i4>104</vt:i4>
      </vt:variant>
      <vt:variant>
        <vt:i4>0</vt:i4>
      </vt:variant>
      <vt:variant>
        <vt:i4>5</vt:i4>
      </vt:variant>
      <vt:variant>
        <vt:lpwstr/>
      </vt:variant>
      <vt:variant>
        <vt:lpwstr>_Toc300674570</vt:lpwstr>
      </vt:variant>
      <vt:variant>
        <vt:i4>1245233</vt:i4>
      </vt:variant>
      <vt:variant>
        <vt:i4>98</vt:i4>
      </vt:variant>
      <vt:variant>
        <vt:i4>0</vt:i4>
      </vt:variant>
      <vt:variant>
        <vt:i4>5</vt:i4>
      </vt:variant>
      <vt:variant>
        <vt:lpwstr/>
      </vt:variant>
      <vt:variant>
        <vt:lpwstr>_Toc300674569</vt:lpwstr>
      </vt:variant>
      <vt:variant>
        <vt:i4>1245233</vt:i4>
      </vt:variant>
      <vt:variant>
        <vt:i4>92</vt:i4>
      </vt:variant>
      <vt:variant>
        <vt:i4>0</vt:i4>
      </vt:variant>
      <vt:variant>
        <vt:i4>5</vt:i4>
      </vt:variant>
      <vt:variant>
        <vt:lpwstr/>
      </vt:variant>
      <vt:variant>
        <vt:lpwstr>_Toc300674568</vt:lpwstr>
      </vt:variant>
      <vt:variant>
        <vt:i4>1245233</vt:i4>
      </vt:variant>
      <vt:variant>
        <vt:i4>86</vt:i4>
      </vt:variant>
      <vt:variant>
        <vt:i4>0</vt:i4>
      </vt:variant>
      <vt:variant>
        <vt:i4>5</vt:i4>
      </vt:variant>
      <vt:variant>
        <vt:lpwstr/>
      </vt:variant>
      <vt:variant>
        <vt:lpwstr>_Toc300674567</vt:lpwstr>
      </vt:variant>
      <vt:variant>
        <vt:i4>1245233</vt:i4>
      </vt:variant>
      <vt:variant>
        <vt:i4>80</vt:i4>
      </vt:variant>
      <vt:variant>
        <vt:i4>0</vt:i4>
      </vt:variant>
      <vt:variant>
        <vt:i4>5</vt:i4>
      </vt:variant>
      <vt:variant>
        <vt:lpwstr/>
      </vt:variant>
      <vt:variant>
        <vt:lpwstr>_Toc300674566</vt:lpwstr>
      </vt:variant>
      <vt:variant>
        <vt:i4>1245233</vt:i4>
      </vt:variant>
      <vt:variant>
        <vt:i4>74</vt:i4>
      </vt:variant>
      <vt:variant>
        <vt:i4>0</vt:i4>
      </vt:variant>
      <vt:variant>
        <vt:i4>5</vt:i4>
      </vt:variant>
      <vt:variant>
        <vt:lpwstr/>
      </vt:variant>
      <vt:variant>
        <vt:lpwstr>_Toc300674565</vt:lpwstr>
      </vt:variant>
      <vt:variant>
        <vt:i4>1245233</vt:i4>
      </vt:variant>
      <vt:variant>
        <vt:i4>68</vt:i4>
      </vt:variant>
      <vt:variant>
        <vt:i4>0</vt:i4>
      </vt:variant>
      <vt:variant>
        <vt:i4>5</vt:i4>
      </vt:variant>
      <vt:variant>
        <vt:lpwstr/>
      </vt:variant>
      <vt:variant>
        <vt:lpwstr>_Toc300674564</vt:lpwstr>
      </vt:variant>
      <vt:variant>
        <vt:i4>1245233</vt:i4>
      </vt:variant>
      <vt:variant>
        <vt:i4>62</vt:i4>
      </vt:variant>
      <vt:variant>
        <vt:i4>0</vt:i4>
      </vt:variant>
      <vt:variant>
        <vt:i4>5</vt:i4>
      </vt:variant>
      <vt:variant>
        <vt:lpwstr/>
      </vt:variant>
      <vt:variant>
        <vt:lpwstr>_Toc300674563</vt:lpwstr>
      </vt:variant>
      <vt:variant>
        <vt:i4>1245233</vt:i4>
      </vt:variant>
      <vt:variant>
        <vt:i4>56</vt:i4>
      </vt:variant>
      <vt:variant>
        <vt:i4>0</vt:i4>
      </vt:variant>
      <vt:variant>
        <vt:i4>5</vt:i4>
      </vt:variant>
      <vt:variant>
        <vt:lpwstr/>
      </vt:variant>
      <vt:variant>
        <vt:lpwstr>_Toc300674562</vt:lpwstr>
      </vt:variant>
      <vt:variant>
        <vt:i4>1245233</vt:i4>
      </vt:variant>
      <vt:variant>
        <vt:i4>50</vt:i4>
      </vt:variant>
      <vt:variant>
        <vt:i4>0</vt:i4>
      </vt:variant>
      <vt:variant>
        <vt:i4>5</vt:i4>
      </vt:variant>
      <vt:variant>
        <vt:lpwstr/>
      </vt:variant>
      <vt:variant>
        <vt:lpwstr>_Toc300674561</vt:lpwstr>
      </vt:variant>
      <vt:variant>
        <vt:i4>1245233</vt:i4>
      </vt:variant>
      <vt:variant>
        <vt:i4>44</vt:i4>
      </vt:variant>
      <vt:variant>
        <vt:i4>0</vt:i4>
      </vt:variant>
      <vt:variant>
        <vt:i4>5</vt:i4>
      </vt:variant>
      <vt:variant>
        <vt:lpwstr/>
      </vt:variant>
      <vt:variant>
        <vt:lpwstr>_Toc300674560</vt:lpwstr>
      </vt:variant>
      <vt:variant>
        <vt:i4>1048625</vt:i4>
      </vt:variant>
      <vt:variant>
        <vt:i4>38</vt:i4>
      </vt:variant>
      <vt:variant>
        <vt:i4>0</vt:i4>
      </vt:variant>
      <vt:variant>
        <vt:i4>5</vt:i4>
      </vt:variant>
      <vt:variant>
        <vt:lpwstr/>
      </vt:variant>
      <vt:variant>
        <vt:lpwstr>_Toc300674559</vt:lpwstr>
      </vt:variant>
      <vt:variant>
        <vt:i4>1048625</vt:i4>
      </vt:variant>
      <vt:variant>
        <vt:i4>32</vt:i4>
      </vt:variant>
      <vt:variant>
        <vt:i4>0</vt:i4>
      </vt:variant>
      <vt:variant>
        <vt:i4>5</vt:i4>
      </vt:variant>
      <vt:variant>
        <vt:lpwstr/>
      </vt:variant>
      <vt:variant>
        <vt:lpwstr>_Toc300674558</vt:lpwstr>
      </vt:variant>
      <vt:variant>
        <vt:i4>1048625</vt:i4>
      </vt:variant>
      <vt:variant>
        <vt:i4>26</vt:i4>
      </vt:variant>
      <vt:variant>
        <vt:i4>0</vt:i4>
      </vt:variant>
      <vt:variant>
        <vt:i4>5</vt:i4>
      </vt:variant>
      <vt:variant>
        <vt:lpwstr/>
      </vt:variant>
      <vt:variant>
        <vt:lpwstr>_Toc300674557</vt:lpwstr>
      </vt:variant>
      <vt:variant>
        <vt:i4>1048625</vt:i4>
      </vt:variant>
      <vt:variant>
        <vt:i4>20</vt:i4>
      </vt:variant>
      <vt:variant>
        <vt:i4>0</vt:i4>
      </vt:variant>
      <vt:variant>
        <vt:i4>5</vt:i4>
      </vt:variant>
      <vt:variant>
        <vt:lpwstr/>
      </vt:variant>
      <vt:variant>
        <vt:lpwstr>_Toc300674556</vt:lpwstr>
      </vt:variant>
      <vt:variant>
        <vt:i4>1048625</vt:i4>
      </vt:variant>
      <vt:variant>
        <vt:i4>14</vt:i4>
      </vt:variant>
      <vt:variant>
        <vt:i4>0</vt:i4>
      </vt:variant>
      <vt:variant>
        <vt:i4>5</vt:i4>
      </vt:variant>
      <vt:variant>
        <vt:lpwstr/>
      </vt:variant>
      <vt:variant>
        <vt:lpwstr>_Toc300674555</vt:lpwstr>
      </vt:variant>
      <vt:variant>
        <vt:i4>1048625</vt:i4>
      </vt:variant>
      <vt:variant>
        <vt:i4>8</vt:i4>
      </vt:variant>
      <vt:variant>
        <vt:i4>0</vt:i4>
      </vt:variant>
      <vt:variant>
        <vt:i4>5</vt:i4>
      </vt:variant>
      <vt:variant>
        <vt:lpwstr/>
      </vt:variant>
      <vt:variant>
        <vt:lpwstr>_Toc300674554</vt:lpwstr>
      </vt:variant>
      <vt:variant>
        <vt:i4>1048625</vt:i4>
      </vt:variant>
      <vt:variant>
        <vt:i4>2</vt:i4>
      </vt:variant>
      <vt:variant>
        <vt:i4>0</vt:i4>
      </vt:variant>
      <vt:variant>
        <vt:i4>5</vt:i4>
      </vt:variant>
      <vt:variant>
        <vt:lpwstr/>
      </vt:variant>
      <vt:variant>
        <vt:lpwstr>_Toc300674553</vt:lpwstr>
      </vt:variant>
      <vt:variant>
        <vt:i4>3604570</vt:i4>
      </vt:variant>
      <vt:variant>
        <vt:i4>6371</vt:i4>
      </vt:variant>
      <vt:variant>
        <vt:i4>1026</vt:i4>
      </vt:variant>
      <vt:variant>
        <vt:i4>1</vt:i4>
      </vt:variant>
      <vt:variant>
        <vt:lpwstr>cid:image002.png@01CC56A5.0E0B0EA0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White Paper Final</dc:title>
  <dc:creator/>
  <cp:lastModifiedBy/>
  <cp:revision>1</cp:revision>
  <cp:lastPrinted>1999-06-09T15:17:00Z</cp:lastPrinted>
  <dcterms:created xsi:type="dcterms:W3CDTF">2017-03-13T12:18:00Z</dcterms:created>
  <dcterms:modified xsi:type="dcterms:W3CDTF">2017-03-13T12:23:00Z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0x010100A5D0033F32953E40BD4B4F3C207FE74E</vt:lpwstr>
  </property>
  <property fmtid="{D5CDD505-2E9C-101B-9397-08002B2CF9AE}" pid="4" name="Document Type">
    <vt:lpwstr>General Documents</vt:lpwstr>
  </property>
</Properties>
</file>